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D640E" w14:textId="6618869B" w:rsidR="00C3263A" w:rsidRDefault="00C3263A" w:rsidP="00C3263A">
      <w:pPr>
        <w:tabs>
          <w:tab w:val="left" w:pos="1701"/>
          <w:tab w:val="right" w:pos="9639"/>
        </w:tabs>
        <w:spacing w:after="0"/>
        <w:rPr>
          <w:rFonts w:ascii="Arial" w:hAnsi="Arial" w:cs="Arial"/>
          <w:b/>
          <w:color w:val="000000"/>
          <w:kern w:val="2"/>
          <w:sz w:val="24"/>
        </w:rPr>
      </w:pPr>
      <w:bookmarkStart w:id="0" w:name="_Toc20955728"/>
      <w:r w:rsidRPr="00192B40">
        <w:rPr>
          <w:rFonts w:ascii="Arial" w:hAnsi="Arial" w:cs="Arial"/>
          <w:b/>
          <w:color w:val="000000"/>
          <w:kern w:val="2"/>
          <w:sz w:val="24"/>
        </w:rPr>
        <w:t>3GPP TSG-RAN WG2 Meeting #114 electroni</w:t>
      </w:r>
      <w:r>
        <w:rPr>
          <w:rFonts w:ascii="Arial" w:hAnsi="Arial" w:cs="Arial"/>
          <w:b/>
          <w:color w:val="000000"/>
          <w:kern w:val="2"/>
          <w:sz w:val="24"/>
        </w:rPr>
        <w:t>c</w:t>
      </w:r>
      <w:r>
        <w:rPr>
          <w:rFonts w:ascii="Arial" w:hAnsi="Arial" w:cs="Arial"/>
          <w:b/>
          <w:color w:val="000000"/>
          <w:kern w:val="2"/>
          <w:sz w:val="24"/>
        </w:rPr>
        <w:tab/>
        <w:t xml:space="preserve"> </w:t>
      </w:r>
      <w:r w:rsidR="0090278B" w:rsidRPr="0090278B">
        <w:rPr>
          <w:rFonts w:ascii="Arial" w:hAnsi="Arial" w:cs="Arial"/>
          <w:b/>
          <w:color w:val="000000"/>
          <w:kern w:val="2"/>
          <w:sz w:val="24"/>
        </w:rPr>
        <w:t>R2-2106386</w:t>
      </w:r>
    </w:p>
    <w:p w14:paraId="33C41BD8" w14:textId="77777777" w:rsidR="00C3263A" w:rsidRDefault="00C3263A" w:rsidP="00C3263A">
      <w:pPr>
        <w:tabs>
          <w:tab w:val="left" w:pos="1979"/>
        </w:tabs>
        <w:spacing w:after="180" w:line="240" w:lineRule="auto"/>
        <w:rPr>
          <w:rFonts w:ascii="Arial" w:hAnsi="Arial" w:cs="Arial"/>
          <w:b/>
          <w:bCs/>
          <w:sz w:val="24"/>
        </w:rPr>
      </w:pPr>
      <w:r>
        <w:rPr>
          <w:rFonts w:ascii="Arial" w:hAnsi="Arial" w:cs="Arial" w:hint="eastAsia"/>
          <w:b/>
          <w:bCs/>
          <w:sz w:val="24"/>
        </w:rPr>
        <w:t>Online,</w:t>
      </w:r>
      <w:r>
        <w:rPr>
          <w:rFonts w:ascii="Arial" w:hAnsi="Arial" w:cs="Arial"/>
          <w:b/>
          <w:bCs/>
          <w:sz w:val="24"/>
        </w:rPr>
        <w:t xml:space="preserve"> M</w:t>
      </w:r>
      <w:r>
        <w:rPr>
          <w:rFonts w:ascii="Arial" w:hAnsi="Arial" w:cs="Arial" w:hint="eastAsia"/>
          <w:b/>
          <w:bCs/>
          <w:sz w:val="24"/>
        </w:rPr>
        <w:t>ay</w:t>
      </w:r>
      <w:r w:rsidRPr="00694ACD">
        <w:rPr>
          <w:rFonts w:ascii="Arial" w:hAnsi="Arial" w:cs="Arial"/>
          <w:b/>
          <w:bCs/>
          <w:sz w:val="24"/>
        </w:rPr>
        <w:t xml:space="preserve"> </w:t>
      </w:r>
      <w:r>
        <w:rPr>
          <w:rFonts w:ascii="Arial" w:hAnsi="Arial" w:cs="Arial"/>
          <w:b/>
          <w:bCs/>
          <w:sz w:val="24"/>
        </w:rPr>
        <w:t>19</w:t>
      </w:r>
      <w:r w:rsidRPr="00694ACD">
        <w:rPr>
          <w:rFonts w:ascii="Arial" w:hAnsi="Arial" w:cs="Arial"/>
          <w:b/>
          <w:bCs/>
          <w:sz w:val="24"/>
        </w:rPr>
        <w:t xml:space="preserve"> </w:t>
      </w:r>
      <w:r>
        <w:rPr>
          <w:rFonts w:ascii="Arial" w:hAnsi="Arial" w:cs="Arial"/>
          <w:b/>
          <w:bCs/>
          <w:sz w:val="24"/>
        </w:rPr>
        <w:t>- 27</w:t>
      </w:r>
      <w:r w:rsidRPr="00694ACD">
        <w:rPr>
          <w:rFonts w:ascii="Arial" w:hAnsi="Arial" w:cs="Arial"/>
          <w:b/>
          <w:bCs/>
          <w:sz w:val="24"/>
        </w:rPr>
        <w:t>, 2021</w:t>
      </w:r>
      <w:r>
        <w:rPr>
          <w:rFonts w:ascii="Arial" w:hAnsi="Arial" w:cs="Arial"/>
          <w:b/>
          <w:bCs/>
          <w:sz w:val="24"/>
        </w:rPr>
        <w:t xml:space="preserve">   </w:t>
      </w:r>
      <w:r>
        <w:rPr>
          <w:rFonts w:ascii="Arial" w:hAnsi="Arial" w:cs="Arial"/>
          <w:b/>
          <w:bCs/>
          <w:sz w:val="24"/>
        </w:rPr>
        <w:tab/>
      </w:r>
      <w:r>
        <w:rPr>
          <w:rFonts w:ascii="Arial" w:hAnsi="Arial" w:cs="Arial"/>
          <w:b/>
          <w:bCs/>
          <w:sz w:val="24"/>
        </w:rPr>
        <w:tab/>
      </w:r>
      <w:r>
        <w:rPr>
          <w:rFonts w:ascii="Arial" w:hAnsi="Arial" w:cs="Arial"/>
          <w:b/>
          <w:bCs/>
          <w:color w:val="FF0000"/>
        </w:rPr>
        <w:t xml:space="preserve"> </w:t>
      </w:r>
      <w:r>
        <w:rPr>
          <w:rFonts w:ascii="Arial" w:hAnsi="Arial" w:cs="Arial"/>
          <w:b/>
          <w:bCs/>
          <w:color w:val="FF0000"/>
        </w:rPr>
        <w:tab/>
      </w:r>
      <w:r>
        <w:rPr>
          <w:rFonts w:ascii="Arial" w:hAnsi="Arial" w:cs="Arial"/>
          <w:b/>
          <w:bCs/>
          <w:color w:val="FF0000"/>
        </w:rPr>
        <w:tab/>
      </w:r>
    </w:p>
    <w:p w14:paraId="6C48E420" w14:textId="4D6F9D6E" w:rsidR="002F32B4" w:rsidRPr="00283C05" w:rsidRDefault="002F32B4" w:rsidP="00960006">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0E20FE3C"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F73C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6F255A" w:rsidRPr="006F255A">
        <w:rPr>
          <w:rFonts w:cs="Arial"/>
          <w:bCs/>
          <w:sz w:val="24"/>
          <w:lang w:val="pt-PT"/>
        </w:rPr>
        <w:t>8.10.3.3 Connected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1A1859B4"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6F255A" w:rsidRPr="006F255A">
        <w:rPr>
          <w:rFonts w:ascii="Arial" w:hAnsi="Arial" w:cs="Arial"/>
          <w:sz w:val="24"/>
        </w:rPr>
        <w:t>SMTC and MG configuration for NTN</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proofErr w:type="gramStart"/>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roofErr w:type="gramEnd"/>
    </w:p>
    <w:p w14:paraId="3E3E5CED" w14:textId="2328DE04"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t>
      </w:r>
      <w:r w:rsidR="00786BF4">
        <w:rPr>
          <w:lang w:val="en-GB"/>
        </w:rPr>
        <w:t xml:space="preserve">[1] </w:t>
      </w:r>
      <w:r w:rsidR="00C4692D">
        <w:rPr>
          <w:lang w:val="en-GB"/>
        </w:rPr>
        <w:t>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786BF4">
        <w:rPr>
          <w:lang w:val="en-GB"/>
        </w:rPr>
        <w:t>connected</w:t>
      </w:r>
      <w:r w:rsidR="00294A9F">
        <w:rPr>
          <w:lang w:val="en-GB"/>
        </w:rPr>
        <w:t xml:space="preserv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77777777"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p>
    <w:p w14:paraId="2B5E7D39" w14:textId="4A509B02" w:rsidR="00F06D07" w:rsidRPr="005D7166" w:rsidRDefault="00786BF4" w:rsidP="00F06D07">
      <w:pPr>
        <w:pStyle w:val="ListParagraph"/>
        <w:numPr>
          <w:ilvl w:val="0"/>
          <w:numId w:val="40"/>
        </w:numPr>
        <w:spacing w:after="60" w:line="240" w:lineRule="auto"/>
        <w:rPr>
          <w:rFonts w:eastAsia="Times New Roman" w:cs="Times New Roman"/>
          <w:lang w:val="en-GB" w:eastAsia="x-none"/>
        </w:rPr>
      </w:pPr>
      <w:r>
        <w:rPr>
          <w:rFonts w:eastAsia="Times New Roman" w:cs="Times New Roman"/>
          <w:lang w:val="en-GB" w:eastAsia="x-none"/>
        </w:rPr>
        <w:t>Connected</w:t>
      </w:r>
      <w:r w:rsidR="00F06D07" w:rsidRPr="005D7166">
        <w:rPr>
          <w:rFonts w:eastAsia="Times New Roman" w:cs="Times New Roman"/>
          <w:lang w:val="en-GB" w:eastAsia="x-none"/>
        </w:rPr>
        <w:t xml:space="preserve"> mode: </w:t>
      </w:r>
    </w:p>
    <w:p w14:paraId="557ECE67" w14:textId="77777777" w:rsidR="00786BF4" w:rsidRPr="00786BF4" w:rsidRDefault="00786BF4" w:rsidP="00786BF4">
      <w:pPr>
        <w:pStyle w:val="ListParagraph"/>
        <w:numPr>
          <w:ilvl w:val="1"/>
          <w:numId w:val="40"/>
        </w:numPr>
        <w:rPr>
          <w:rFonts w:eastAsia="Times New Roman" w:cs="Times New Roman"/>
          <w:lang w:val="en-GB" w:eastAsia="x-none"/>
        </w:rPr>
      </w:pPr>
      <w:r w:rsidRPr="00786BF4">
        <w:rPr>
          <w:rFonts w:eastAsia="Times New Roman" w:cs="Times New Roman"/>
          <w:lang w:val="en-GB" w:eastAsia="x-none"/>
        </w:rPr>
        <w:t>Enhancement to existing measurement configurations to address absolute propagation delay difference between satellites (</w:t>
      </w:r>
      <w:proofErr w:type="gramStart"/>
      <w:r w:rsidRPr="00786BF4">
        <w:rPr>
          <w:rFonts w:eastAsia="Times New Roman" w:cs="Times New Roman"/>
          <w:lang w:val="en-GB" w:eastAsia="x-none"/>
        </w:rPr>
        <w:t>e.g.</w:t>
      </w:r>
      <w:proofErr w:type="gramEnd"/>
      <w:r w:rsidRPr="00786BF4">
        <w:rPr>
          <w:rFonts w:eastAsia="Times New Roman" w:cs="Times New Roman"/>
          <w:lang w:val="en-GB" w:eastAsia="x-none"/>
        </w:rPr>
        <w:t xml:space="preserve"> SMTC measurement gap adaptation to the SSB/CSI-RS measurement window) [RAN2/4].</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1619FB96" w:rsidR="00223DE9" w:rsidRDefault="00C4692D" w:rsidP="005D7166">
      <w:pPr>
        <w:rPr>
          <w:lang w:val="en-GB"/>
        </w:rPr>
      </w:pPr>
      <w:r>
        <w:rPr>
          <w:lang w:val="en-GB"/>
        </w:rPr>
        <w:t>RAN2 has made some initial agreements in RAN2#</w:t>
      </w:r>
      <w:r w:rsidR="00C3263A">
        <w:rPr>
          <w:lang w:val="en-GB"/>
        </w:rPr>
        <w:t>113e, 113bis-e,</w:t>
      </w:r>
      <w:r w:rsidR="000847F8">
        <w:rPr>
          <w:lang w:val="en-GB"/>
        </w:rPr>
        <w:t xml:space="preserve"> </w:t>
      </w:r>
      <w:r w:rsidR="00C3263A">
        <w:rPr>
          <w:lang w:val="en-GB"/>
        </w:rPr>
        <w:t xml:space="preserve">and related email discussions </w:t>
      </w:r>
      <w:r>
        <w:rPr>
          <w:lang w:val="en-GB"/>
        </w:rPr>
        <w:t xml:space="preserve">for </w:t>
      </w:r>
      <w:r w:rsidR="00786BF4">
        <w:rPr>
          <w:lang w:val="en-GB"/>
        </w:rPr>
        <w:t xml:space="preserve">SMTC measurement gap adaption for NTN </w:t>
      </w:r>
      <w:r>
        <w:rPr>
          <w:lang w:val="en-GB"/>
        </w:rPr>
        <w:t>as shown below</w:t>
      </w:r>
      <w:r w:rsidR="00C3263A">
        <w:rPr>
          <w:lang w:val="en-GB"/>
        </w:rPr>
        <w:t xml:space="preserve"> [3]</w:t>
      </w:r>
      <w:r>
        <w:rPr>
          <w:lang w:val="en-GB"/>
        </w:rPr>
        <w:t>:</w:t>
      </w:r>
      <w:r w:rsidR="004A6A49">
        <w:rPr>
          <w:lang w:val="en-GB"/>
        </w:rPr>
        <w:t xml:space="preserve"> </w:t>
      </w:r>
    </w:p>
    <w:p w14:paraId="19F6F089" w14:textId="317668C6" w:rsidR="00C3263A" w:rsidRDefault="00244796" w:rsidP="00C3263A">
      <w:pPr>
        <w:pStyle w:val="Doc-text2"/>
        <w:pBdr>
          <w:top w:val="single" w:sz="4" w:space="1" w:color="auto"/>
          <w:left w:val="single" w:sz="4" w:space="4" w:color="auto"/>
          <w:bottom w:val="single" w:sz="4" w:space="1" w:color="auto"/>
          <w:right w:val="single" w:sz="4" w:space="4" w:color="auto"/>
        </w:pBdr>
      </w:pPr>
      <w:hyperlink r:id="rId11" w:tooltip="C:Data3GPPExtractsR2-2102866_post113-e_108_NTN_SMTC_MeasGap.docx" w:history="1">
        <w:r w:rsidR="00C3263A" w:rsidRPr="00740996">
          <w:rPr>
            <w:rStyle w:val="Hyperlink"/>
          </w:rPr>
          <w:t>R2-2102866</w:t>
        </w:r>
      </w:hyperlink>
      <w:r w:rsidR="00C3263A">
        <w:tab/>
        <w:t>Report of [post113-e][</w:t>
      </w:r>
      <w:proofErr w:type="gramStart"/>
      <w:r w:rsidR="00C3263A">
        <w:t>108][</w:t>
      </w:r>
      <w:proofErr w:type="gramEnd"/>
      <w:r w:rsidR="00C3263A">
        <w:t>NTN] SMTC and measurement gap</w:t>
      </w:r>
    </w:p>
    <w:p w14:paraId="5B76022D" w14:textId="50A30B57" w:rsidR="00C3263A" w:rsidRDefault="00C3263A" w:rsidP="00C3263A">
      <w:pPr>
        <w:pStyle w:val="Doc-text2"/>
        <w:pBdr>
          <w:top w:val="single" w:sz="4" w:space="1" w:color="auto"/>
          <w:left w:val="single" w:sz="4" w:space="4" w:color="auto"/>
          <w:bottom w:val="single" w:sz="4" w:space="1" w:color="auto"/>
          <w:right w:val="single" w:sz="4" w:space="4" w:color="auto"/>
        </w:pBdr>
      </w:pPr>
      <w:r>
        <w:t>Agreements:</w:t>
      </w:r>
    </w:p>
    <w:p w14:paraId="593E4C57" w14:textId="447E605B" w:rsidR="00C3263A" w:rsidRDefault="00C3263A" w:rsidP="00C3263A">
      <w:pPr>
        <w:pStyle w:val="Doc-text2"/>
        <w:numPr>
          <w:ilvl w:val="0"/>
          <w:numId w:val="47"/>
        </w:numPr>
        <w:pBdr>
          <w:top w:val="single" w:sz="4" w:space="1" w:color="auto"/>
          <w:left w:val="single" w:sz="4" w:space="4" w:color="auto"/>
          <w:bottom w:val="single" w:sz="4" w:space="1" w:color="auto"/>
          <w:right w:val="single" w:sz="4" w:space="4" w:color="auto"/>
        </w:pBdr>
      </w:pPr>
      <w:r>
        <w:t>For Rel-17 NTN, Rel-17 NR operation is enhanced (</w:t>
      </w:r>
      <w:proofErr w:type="gramStart"/>
      <w:r>
        <w:t>e.g.</w:t>
      </w:r>
      <w:proofErr w:type="gramEnd"/>
      <w:r>
        <w:t xml:space="preserve"> the SMTC configuration and UE measurement gap </w:t>
      </w:r>
      <w:r w:rsidR="005A4172">
        <w:t>c</w:t>
      </w:r>
      <w:r>
        <w:t>onfiguration) aiming to address the issues associated with the different/larger propagation delays, and the satellites (considering e.g. their deployment, mobility, height, minimum elevation and prioritizing typical NTN scenarios).</w:t>
      </w:r>
    </w:p>
    <w:p w14:paraId="46039732" w14:textId="77777777" w:rsidR="00C3263A" w:rsidRDefault="00C3263A" w:rsidP="00C3263A">
      <w:pPr>
        <w:pStyle w:val="Doc-text2"/>
        <w:numPr>
          <w:ilvl w:val="0"/>
          <w:numId w:val="47"/>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12CC4118" w14:textId="77777777" w:rsidR="00C3263A" w:rsidRDefault="00C3263A" w:rsidP="00C3263A">
      <w:pPr>
        <w:pStyle w:val="Doc-text2"/>
        <w:numPr>
          <w:ilvl w:val="0"/>
          <w:numId w:val="47"/>
        </w:numPr>
        <w:pBdr>
          <w:top w:val="single" w:sz="4" w:space="1" w:color="auto"/>
          <w:left w:val="single" w:sz="4" w:space="4" w:color="auto"/>
          <w:bottom w:val="single" w:sz="4" w:space="1" w:color="auto"/>
          <w:right w:val="single" w:sz="4" w:space="4" w:color="auto"/>
        </w:pBdr>
      </w:pPr>
      <w:r>
        <w:t>Enhancements of the SMTC configuration is supported for Rel-17 NTN.</w:t>
      </w:r>
    </w:p>
    <w:p w14:paraId="40E9E6B9" w14:textId="1E35349D" w:rsidR="00C3263A" w:rsidRDefault="00C3263A" w:rsidP="00C3263A">
      <w:pPr>
        <w:pStyle w:val="Doc-text2"/>
        <w:numPr>
          <w:ilvl w:val="0"/>
          <w:numId w:val="47"/>
        </w:numPr>
        <w:pBdr>
          <w:top w:val="single" w:sz="4" w:space="1" w:color="auto"/>
          <w:left w:val="single" w:sz="4" w:space="4" w:color="auto"/>
          <w:bottom w:val="single" w:sz="4" w:space="1" w:color="auto"/>
          <w:right w:val="single" w:sz="4" w:space="4" w:color="auto"/>
        </w:pBdr>
      </w:pPr>
      <w:r>
        <w:t xml:space="preserve">Optional new UE assistance is defined in Rel-17 NTN for network to properly (re)configure the SMTC and/or measurement </w:t>
      </w:r>
      <w:proofErr w:type="gramStart"/>
      <w:r>
        <w:t>gap</w:t>
      </w:r>
      <w:proofErr w:type="gramEnd"/>
    </w:p>
    <w:p w14:paraId="399FCECE"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259" w:firstLine="0"/>
      </w:pPr>
    </w:p>
    <w:bookmarkStart w:id="1" w:name="_Hlk71577222"/>
    <w:p w14:paraId="2EACF6A2" w14:textId="27FD407D" w:rsidR="00C3263A" w:rsidRDefault="00C3263A" w:rsidP="00C3263A">
      <w:pPr>
        <w:pStyle w:val="Doc-text2"/>
        <w:pBdr>
          <w:top w:val="single" w:sz="4" w:space="1" w:color="auto"/>
          <w:left w:val="single" w:sz="4" w:space="4" w:color="auto"/>
          <w:bottom w:val="single" w:sz="4" w:space="1" w:color="auto"/>
          <w:right w:val="single" w:sz="4" w:space="4" w:color="auto"/>
        </w:pBdr>
        <w:ind w:left="1259" w:firstLine="0"/>
      </w:pPr>
      <w:r>
        <w:fldChar w:fldCharType="begin"/>
      </w:r>
      <w:r>
        <w:instrText xml:space="preserve"> HYPERLINK "file:///C:\\Data\\3GPP\\RAN2\\Inbox\\R2-2104372.zip" \o "C:Data3GPPRAN2InboxR2-2104372.zip" </w:instrText>
      </w:r>
      <w:r>
        <w:fldChar w:fldCharType="separate"/>
      </w:r>
      <w:r w:rsidRPr="004E3AF3">
        <w:rPr>
          <w:rStyle w:val="Hyperlink"/>
        </w:rPr>
        <w:t>R2-2104372</w:t>
      </w:r>
      <w:r>
        <w:rPr>
          <w:rStyle w:val="Hyperlink"/>
        </w:rPr>
        <w:fldChar w:fldCharType="end"/>
      </w:r>
      <w:r>
        <w:tab/>
        <w:t>Summary of offline 106 - [NTN] SMTC and gaps</w:t>
      </w:r>
      <w:bookmarkEnd w:id="1"/>
      <w:r>
        <w:t xml:space="preserve"> - second round</w:t>
      </w:r>
    </w:p>
    <w:p w14:paraId="05E1E8FD" w14:textId="1C2ABD4D" w:rsidR="00C3263A" w:rsidRDefault="00C3263A" w:rsidP="00C3263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46B3F6C5" w14:textId="77777777" w:rsidR="00C3263A" w:rsidRDefault="00C3263A" w:rsidP="00C3263A">
      <w:pPr>
        <w:pStyle w:val="Doc-text2"/>
        <w:numPr>
          <w:ilvl w:val="0"/>
          <w:numId w:val="48"/>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010EBAA3"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2D1AB53D"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74A7BD93"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6220A2A1"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190BE437"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783ED0C4"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lastRenderedPageBreak/>
        <w:tab/>
      </w:r>
      <w:r w:rsidRPr="00E949E0">
        <w:t>(c) Is there any validity: in time or for certain location only, foreseen in suc</w:t>
      </w:r>
      <w:r>
        <w:t>h multiple SMTC configuration?</w:t>
      </w:r>
    </w:p>
    <w:p w14:paraId="1CDBF7A6"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3DB86C4D" w14:textId="77777777" w:rsidR="00C3263A" w:rsidRDefault="00C3263A" w:rsidP="00C3263A">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671FAD5F" w14:textId="77777777" w:rsidR="00C3263A" w:rsidRDefault="00C3263A" w:rsidP="00C3263A">
      <w:pPr>
        <w:pStyle w:val="Doc-text2"/>
        <w:numPr>
          <w:ilvl w:val="0"/>
          <w:numId w:val="48"/>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14:paraId="454B08D4" w14:textId="0895CE38" w:rsidR="00C3263A" w:rsidRDefault="00C3263A" w:rsidP="00C3263A">
      <w:pPr>
        <w:pStyle w:val="Doc-text2"/>
        <w:numPr>
          <w:ilvl w:val="0"/>
          <w:numId w:val="48"/>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14:paraId="7614E75F" w14:textId="2333E773" w:rsidR="00C3263A" w:rsidRDefault="00C3263A" w:rsidP="00C3263A">
      <w:pPr>
        <w:pStyle w:val="Doc-text2"/>
        <w:pBdr>
          <w:top w:val="single" w:sz="4" w:space="1" w:color="auto"/>
          <w:left w:val="single" w:sz="4" w:space="4" w:color="auto"/>
          <w:bottom w:val="single" w:sz="4" w:space="1" w:color="auto"/>
          <w:right w:val="single" w:sz="4" w:space="4" w:color="auto"/>
        </w:pBdr>
      </w:pPr>
    </w:p>
    <w:p w14:paraId="39450D0A" w14:textId="6B73657F" w:rsidR="00C3263A" w:rsidRDefault="00C3263A" w:rsidP="00C3263A">
      <w:pPr>
        <w:pStyle w:val="Doc-text2"/>
        <w:pBdr>
          <w:top w:val="single" w:sz="4" w:space="1" w:color="auto"/>
          <w:left w:val="single" w:sz="4" w:space="4" w:color="auto"/>
          <w:bottom w:val="single" w:sz="4" w:space="1" w:color="auto"/>
          <w:right w:val="single" w:sz="4" w:space="4" w:color="auto"/>
        </w:pBdr>
      </w:pPr>
      <w:r>
        <w:t>Agreements online [3]:</w:t>
      </w:r>
    </w:p>
    <w:p w14:paraId="291202BD" w14:textId="77777777" w:rsidR="00C3263A" w:rsidRDefault="00C3263A" w:rsidP="00C3263A">
      <w:pPr>
        <w:pStyle w:val="Doc-text2"/>
        <w:numPr>
          <w:ilvl w:val="0"/>
          <w:numId w:val="49"/>
        </w:numPr>
        <w:pBdr>
          <w:top w:val="single" w:sz="4" w:space="1" w:color="auto"/>
          <w:left w:val="single" w:sz="4" w:space="4" w:color="auto"/>
          <w:bottom w:val="single" w:sz="4" w:space="1" w:color="auto"/>
          <w:right w:val="single" w:sz="4" w:space="4" w:color="auto"/>
        </w:pBdr>
      </w:pPr>
      <w:r>
        <w:t xml:space="preserve">Measurement gaps enhancements should be supported. FFS on the </w:t>
      </w:r>
      <w:proofErr w:type="gramStart"/>
      <w:r>
        <w:t>details</w:t>
      </w:r>
      <w:proofErr w:type="gramEnd"/>
    </w:p>
    <w:p w14:paraId="1942F887" w14:textId="77777777" w:rsidR="00C3263A" w:rsidRDefault="00C3263A" w:rsidP="00256B7C">
      <w:pPr>
        <w:pStyle w:val="Doc-text2"/>
        <w:pBdr>
          <w:top w:val="single" w:sz="4" w:space="1" w:color="auto"/>
          <w:left w:val="single" w:sz="4" w:space="4" w:color="auto"/>
          <w:bottom w:val="single" w:sz="4" w:space="1" w:color="auto"/>
          <w:right w:val="single" w:sz="4" w:space="4" w:color="auto"/>
        </w:pBdr>
      </w:pPr>
    </w:p>
    <w:p w14:paraId="1CD77ADA" w14:textId="77777777" w:rsidR="00C3263A" w:rsidRPr="00CB7B89" w:rsidRDefault="00C3263A" w:rsidP="005D7166">
      <w:pPr>
        <w:rPr>
          <w:lang w:val="en-GB"/>
        </w:rPr>
      </w:pPr>
    </w:p>
    <w:p w14:paraId="6A9F16B5" w14:textId="76D7606D" w:rsidR="00DE58C7" w:rsidRDefault="00C4692D" w:rsidP="000847F8">
      <w:r w:rsidRPr="00C4692D">
        <w:t xml:space="preserve">Based on the above agreements, the objective of this paper is to progress these </w:t>
      </w:r>
      <w:r>
        <w:t>agreements further and address some of the FFS</w:t>
      </w:r>
      <w:r w:rsidR="005F35D6">
        <w:t>s</w:t>
      </w:r>
      <w:r w:rsidR="00DE58C7">
        <w:t xml:space="preserve"> that are highlighted in </w:t>
      </w:r>
      <w:r w:rsidR="0058544C">
        <w:t>the proposals</w:t>
      </w:r>
      <w:r w:rsidR="005F35D6">
        <w:t>, specifically</w:t>
      </w:r>
      <w:r w:rsidR="00626372">
        <w:t xml:space="preserve"> some of</w:t>
      </w:r>
      <w:r w:rsidR="005F35D6">
        <w:t xml:space="preserve"> </w:t>
      </w:r>
      <w:r w:rsidR="00DE58C7">
        <w:t xml:space="preserve">the following </w:t>
      </w:r>
      <w:r w:rsidR="005F35D6">
        <w:t xml:space="preserve">related to </w:t>
      </w:r>
      <w:r w:rsidR="000847F8">
        <w:t>SMTC and Measurement Gap Configuration for NTN scenarios</w:t>
      </w:r>
      <w:r w:rsidR="00DE58C7">
        <w:t>:</w:t>
      </w:r>
    </w:p>
    <w:p w14:paraId="63EB7EFF" w14:textId="18D2A027" w:rsidR="007E7F09" w:rsidRPr="00C4692D" w:rsidRDefault="007E7F09" w:rsidP="000847F8"/>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1B41B08" w:rsidR="009F5B13" w:rsidRPr="00E501AE" w:rsidRDefault="009F5B13" w:rsidP="009F5B13">
      <w:pPr>
        <w:pStyle w:val="Heading4"/>
        <w:rPr>
          <w:sz w:val="28"/>
          <w:szCs w:val="22"/>
        </w:rPr>
      </w:pPr>
      <w:r w:rsidRPr="00E501AE">
        <w:rPr>
          <w:sz w:val="28"/>
          <w:szCs w:val="22"/>
        </w:rPr>
        <w:t xml:space="preserve">2.1 </w:t>
      </w:r>
      <w:r w:rsidR="000847F8">
        <w:rPr>
          <w:sz w:val="28"/>
          <w:szCs w:val="22"/>
        </w:rPr>
        <w:t xml:space="preserve">Background </w:t>
      </w:r>
      <w:r w:rsidR="005D01CD">
        <w:rPr>
          <w:sz w:val="28"/>
          <w:szCs w:val="22"/>
        </w:rPr>
        <w:t xml:space="preserve">for </w:t>
      </w:r>
      <w:r w:rsidR="000847F8">
        <w:rPr>
          <w:sz w:val="28"/>
          <w:szCs w:val="22"/>
        </w:rPr>
        <w:t>SMTC Measurement Gaps</w:t>
      </w:r>
    </w:p>
    <w:p w14:paraId="7C687552" w14:textId="40161686" w:rsidR="007C7B1A" w:rsidRDefault="00F5537D" w:rsidP="005D7166">
      <w:pPr>
        <w:rPr>
          <w:lang w:val="en-GB" w:eastAsia="ja-JP"/>
        </w:rPr>
      </w:pPr>
      <w:r w:rsidRPr="00283C05">
        <w:rPr>
          <w:lang w:val="en-GB" w:eastAsia="ja-JP"/>
        </w:rPr>
        <w:t xml:space="preserve">In this section, we </w:t>
      </w:r>
      <w:r w:rsidR="009F5B13">
        <w:rPr>
          <w:lang w:val="en-GB" w:eastAsia="ja-JP"/>
        </w:rPr>
        <w:t xml:space="preserve">discuss </w:t>
      </w:r>
      <w:r w:rsidR="007C7B1A">
        <w:rPr>
          <w:lang w:val="en-GB" w:eastAsia="ja-JP"/>
        </w:rPr>
        <w:t xml:space="preserve">background and Terrestrial Network behaviour for </w:t>
      </w:r>
      <w:r w:rsidR="007C7B1A" w:rsidRPr="007C7B1A">
        <w:rPr>
          <w:lang w:val="en-GB" w:eastAsia="ja-JP"/>
        </w:rPr>
        <w:t>SSB Measurement Timing Configuration</w:t>
      </w:r>
      <w:r w:rsidR="007C7B1A">
        <w:rPr>
          <w:lang w:val="en-GB" w:eastAsia="ja-JP"/>
        </w:rPr>
        <w:t xml:space="preserve"> (SMTC) and Measurement Gaps (MGs)</w:t>
      </w:r>
      <w:r w:rsidR="009224AD">
        <w:rPr>
          <w:lang w:val="en-GB" w:eastAsia="ja-JP"/>
        </w:rPr>
        <w:t xml:space="preserve">. </w:t>
      </w:r>
    </w:p>
    <w:p w14:paraId="36D07167" w14:textId="1FE55057" w:rsidR="007C7B1A" w:rsidRDefault="007C7B1A" w:rsidP="007C7B1A">
      <w:r>
        <w:t xml:space="preserve">For NR Terrestrial Networks (TN), a UE must be able to measure neighboring cells signal strength (RSRP/RSRQ). Today, UEs are typically equipped with a single RF module due to device complexity/size and must perform all of these additional measurements along with decoding SSB data. </w:t>
      </w:r>
    </w:p>
    <w:p w14:paraId="759B3F2D" w14:textId="631B20B9" w:rsidR="007C7B1A" w:rsidRDefault="007C7B1A" w:rsidP="007C7B1A">
      <w:r>
        <w:t>To measure neighboring NTN cell SSBs, the UE must detect these SSB burst sets within various periodicities as shown in Figure 2.1-1. SSB sets occupy the 1st or 2nd half of each NR (10 ms) frame with the number of SSBs transmitted within a burst set determined by carrier frequency (4, 8, 64 SSBs). SSB Bursts are transmitted in periodicities of {ms5, ms10, ms20, ms40, ms80, ms160}.</w:t>
      </w:r>
    </w:p>
    <w:p w14:paraId="5FD39B7B" w14:textId="26D30CFC" w:rsidR="007C7B1A" w:rsidRDefault="007C7B1A" w:rsidP="007C7B1A">
      <w:r>
        <w:t xml:space="preserve"> </w:t>
      </w:r>
      <w:r>
        <w:object w:dxaOrig="8391" w:dyaOrig="2280" w14:anchorId="2A374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14.0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Visio.Drawing.15" ShapeID="_x0000_i1025" DrawAspect="Content" ObjectID="_1682197595" r:id="rId13"/>
        </w:object>
      </w:r>
    </w:p>
    <w:p w14:paraId="54009A85" w14:textId="0571077C" w:rsidR="007C7B1A" w:rsidRDefault="007C7B1A" w:rsidP="007C7B1A">
      <w:r>
        <w:t>Figure 2.1-1 Measurement Gaps</w:t>
      </w:r>
    </w:p>
    <w:p w14:paraId="3634BC2E" w14:textId="2AC55E62" w:rsidR="007C7B1A" w:rsidRDefault="007C7B1A" w:rsidP="007C7B1A">
      <w:r>
        <w:t xml:space="preserve">In Rel-16, the Figure 2.1-1 also represents the associated parameters for measurement gaps and are also represented in RRC in Figure 2.1-2. Measurement gap config may include configurations for </w:t>
      </w:r>
      <w:r w:rsidRPr="00626372">
        <w:rPr>
          <w:i/>
          <w:iCs/>
        </w:rPr>
        <w:t>gapFR1</w:t>
      </w:r>
      <w:r>
        <w:t xml:space="preserve">, </w:t>
      </w:r>
      <w:r w:rsidRPr="00626372">
        <w:rPr>
          <w:i/>
          <w:iCs/>
        </w:rPr>
        <w:t>gapFR2</w:t>
      </w:r>
      <w:r>
        <w:t xml:space="preserve">, or </w:t>
      </w:r>
      <w:r w:rsidRPr="00626372">
        <w:rPr>
          <w:i/>
          <w:iCs/>
        </w:rPr>
        <w:t>gapUE</w:t>
      </w:r>
      <w:r>
        <w:t xml:space="preserve"> (FR1 and FR2). Measurement Gap Length (</w:t>
      </w:r>
      <w:r w:rsidRPr="00626372">
        <w:rPr>
          <w:i/>
          <w:iCs/>
        </w:rPr>
        <w:t>mgl</w:t>
      </w:r>
      <w:r>
        <w:t>) is the length of measurement gap in ms. Measurement gap lengths can 1.5, 3, 3.5, 4, 5.5, and 6 ms.</w:t>
      </w:r>
    </w:p>
    <w:p w14:paraId="2023FEB7" w14:textId="77777777" w:rsidR="007C7B1A" w:rsidRDefault="007C7B1A" w:rsidP="007C7B1A">
      <w:r>
        <w:lastRenderedPageBreak/>
        <w:t>Measurement Gap Repetition Period (</w:t>
      </w:r>
      <w:r w:rsidRPr="00626372">
        <w:rPr>
          <w:i/>
          <w:iCs/>
        </w:rPr>
        <w:t>mgrp</w:t>
      </w:r>
      <w:r>
        <w:t>) defines the periodicity (in ms) at which measurement gap repeats. It can be configured as 20, 40, 80, and 160 ms.</w:t>
      </w:r>
    </w:p>
    <w:p w14:paraId="1FEF6955" w14:textId="77777777" w:rsidR="007C7B1A" w:rsidRDefault="007C7B1A" w:rsidP="007C7B1A">
      <w:r>
        <w:t>Measurement Gap Timing Advance (</w:t>
      </w:r>
      <w:r w:rsidRPr="00626372">
        <w:rPr>
          <w:i/>
          <w:iCs/>
        </w:rPr>
        <w:t>mgta</w:t>
      </w:r>
      <w:r>
        <w:t xml:space="preserve">) is an offset where the UE starts the measurement mgta ms before the gap subframe occurrence occurring immediately before the measurement </w:t>
      </w:r>
      <w:proofErr w:type="gramStart"/>
      <w:r>
        <w:t>gap, in case</w:t>
      </w:r>
      <w:proofErr w:type="gramEnd"/>
      <w:r>
        <w:t xml:space="preserve"> the start of the SMTC window overlaps with the retuning time (RF retuning time in the 0.5 ms before and after the actual measurement window). The amount of timing advance can be 0.25 ms (FR2) or 0.5 ms (FR1).</w:t>
      </w:r>
    </w:p>
    <w:p w14:paraId="3EA893DB" w14:textId="7326A07C" w:rsidR="007C7B1A" w:rsidRDefault="007C7B1A" w:rsidP="007C7B1A">
      <w:r>
        <w:t xml:space="preserve"> </w:t>
      </w:r>
      <w:r w:rsidRPr="003035D9">
        <w:rPr>
          <w:noProof/>
        </w:rPr>
        <w:drawing>
          <wp:inline distT="0" distB="0" distL="0" distR="0" wp14:anchorId="2BE7A3DE" wp14:editId="57056442">
            <wp:extent cx="5733415" cy="2177661"/>
            <wp:effectExtent l="19050" t="19050" r="19685" b="133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3415" cy="2177661"/>
                    </a:xfrm>
                    <a:prstGeom prst="rect">
                      <a:avLst/>
                    </a:prstGeom>
                    <a:noFill/>
                    <a:ln>
                      <a:solidFill>
                        <a:schemeClr val="accent1"/>
                      </a:solidFill>
                    </a:ln>
                  </pic:spPr>
                </pic:pic>
              </a:graphicData>
            </a:graphic>
          </wp:inline>
        </w:drawing>
      </w:r>
    </w:p>
    <w:p w14:paraId="643D1851" w14:textId="0AB5D1C1" w:rsidR="007C7B1A" w:rsidRDefault="007C7B1A" w:rsidP="007C7B1A">
      <w:r>
        <w:t>Figure 2.1-2 RRC representation for Measurement Gaps</w:t>
      </w:r>
    </w:p>
    <w:p w14:paraId="725BA5F8" w14:textId="124DD0BA" w:rsidR="007C7B1A" w:rsidRDefault="007C7B1A" w:rsidP="007C7B1A">
      <w:r>
        <w:t>Agreements in RAN2#113e</w:t>
      </w:r>
      <w:r w:rsidR="00C3263A">
        <w:t xml:space="preserve"> and verified </w:t>
      </w:r>
      <w:r w:rsidR="006A3C9D">
        <w:t>in 113bis-e,</w:t>
      </w:r>
      <w:r>
        <w:t xml:space="preserve"> included the following: RAN2 understanding that UE shall not be forced to detect the SSB burst outside the corresponding configured SMTC window in NTN, just like the principle in TN. SMTC and measurement gap configuration in NTN are configured based on the timing of PCell.</w:t>
      </w:r>
    </w:p>
    <w:p w14:paraId="41E44473" w14:textId="5B3CBFAD" w:rsidR="002261F2" w:rsidRDefault="002261F2" w:rsidP="007C7B1A">
      <w:pPr>
        <w:rPr>
          <w:bCs/>
          <w:i/>
          <w:iCs/>
          <w:lang w:val="en-GB" w:eastAsia="ja-JP"/>
        </w:rPr>
      </w:pPr>
      <w:r w:rsidRPr="005D7166">
        <w:rPr>
          <w:b/>
          <w:i/>
          <w:iCs/>
          <w:lang w:val="en-GB" w:eastAsia="ja-JP"/>
        </w:rPr>
        <w:t xml:space="preserve">Observation 1: </w:t>
      </w:r>
      <w:r w:rsidR="007C7B1A">
        <w:rPr>
          <w:i/>
          <w:iCs/>
          <w:lang w:val="en-GB"/>
        </w:rPr>
        <w:t>The existing Rel-16 MG configurations are</w:t>
      </w:r>
      <w:r w:rsidR="00074730">
        <w:rPr>
          <w:i/>
          <w:iCs/>
          <w:lang w:val="en-GB"/>
        </w:rPr>
        <w:t xml:space="preserve"> specifically</w:t>
      </w:r>
      <w:r w:rsidR="007C7B1A">
        <w:rPr>
          <w:i/>
          <w:iCs/>
          <w:lang w:val="en-GB"/>
        </w:rPr>
        <w:t xml:space="preserve"> tailored for Terrestrial Network scenarios</w:t>
      </w:r>
      <w:r w:rsidRPr="005D7166">
        <w:rPr>
          <w:bCs/>
          <w:i/>
          <w:iCs/>
          <w:lang w:val="en-GB" w:eastAsia="ja-JP"/>
        </w:rPr>
        <w:t>.</w:t>
      </w:r>
    </w:p>
    <w:p w14:paraId="57B7C0C6" w14:textId="2BDE943E" w:rsidR="00074730" w:rsidRDefault="00074730" w:rsidP="00074730">
      <w:pPr>
        <w:rPr>
          <w:bCs/>
          <w:i/>
          <w:iCs/>
          <w:lang w:val="en-GB" w:eastAsia="ja-JP"/>
        </w:rPr>
      </w:pPr>
      <w:r w:rsidRPr="005D7166">
        <w:rPr>
          <w:b/>
          <w:i/>
          <w:iCs/>
          <w:lang w:val="en-GB" w:eastAsia="ja-JP"/>
        </w:rPr>
        <w:t xml:space="preserve">Observation </w:t>
      </w:r>
      <w:r>
        <w:rPr>
          <w:b/>
          <w:i/>
          <w:iCs/>
          <w:lang w:val="en-GB" w:eastAsia="ja-JP"/>
        </w:rPr>
        <w:t>2</w:t>
      </w:r>
      <w:r w:rsidRPr="005D7166">
        <w:rPr>
          <w:b/>
          <w:i/>
          <w:iCs/>
          <w:lang w:val="en-GB" w:eastAsia="ja-JP"/>
        </w:rPr>
        <w:t xml:space="preserve">: </w:t>
      </w:r>
      <w:r>
        <w:rPr>
          <w:i/>
          <w:iCs/>
          <w:lang w:val="en-GB"/>
        </w:rPr>
        <w:t xml:space="preserve">As is the case for TN, NTN UE </w:t>
      </w:r>
      <w:r w:rsidRPr="00074730">
        <w:rPr>
          <w:i/>
          <w:iCs/>
          <w:lang w:val="en-GB"/>
        </w:rPr>
        <w:t>shall not be forced to detect the SSB burst outside the corresponding configured SMTC window</w:t>
      </w:r>
      <w:r>
        <w:rPr>
          <w:i/>
          <w:iCs/>
          <w:lang w:val="en-GB"/>
        </w:rPr>
        <w:t>, which is configured based on the timing of the PCell</w:t>
      </w:r>
      <w:r w:rsidRPr="005D7166">
        <w:rPr>
          <w:bCs/>
          <w:i/>
          <w:iCs/>
          <w:lang w:val="en-GB" w:eastAsia="ja-JP"/>
        </w:rPr>
        <w:t>.</w:t>
      </w:r>
    </w:p>
    <w:p w14:paraId="44924316" w14:textId="77777777" w:rsidR="00074730" w:rsidRDefault="00074730" w:rsidP="007C7B1A">
      <w:pPr>
        <w:rPr>
          <w:bCs/>
          <w:i/>
          <w:iCs/>
          <w:lang w:val="en-GB" w:eastAsia="ja-JP"/>
        </w:rPr>
      </w:pPr>
    </w:p>
    <w:p w14:paraId="699D71D4" w14:textId="4D9165AB" w:rsidR="00074730" w:rsidRPr="00074730" w:rsidRDefault="00074730" w:rsidP="00074730">
      <w:pPr>
        <w:rPr>
          <w:bCs/>
          <w:lang w:val="en-GB" w:eastAsia="ja-JP"/>
        </w:rPr>
      </w:pPr>
      <w:r>
        <w:rPr>
          <w:bCs/>
          <w:lang w:val="en-GB" w:eastAsia="ja-JP"/>
        </w:rPr>
        <w:t>As mentioned, in TNs</w:t>
      </w:r>
      <w:r w:rsidRPr="00074730">
        <w:rPr>
          <w:bCs/>
          <w:lang w:val="en-GB" w:eastAsia="ja-JP"/>
        </w:rPr>
        <w:t xml:space="preserve">, SMTC measurement gap configuration is based on the timing of PCell. However, in NTN scenarios, this causes an issue since there may be a significant propagation delay difference between the serving NTN cell and neighboring NTN cell(s). </w:t>
      </w:r>
    </w:p>
    <w:p w14:paraId="5824C135" w14:textId="77777777" w:rsidR="00074730" w:rsidRPr="00074730" w:rsidRDefault="00074730" w:rsidP="00074730">
      <w:pPr>
        <w:rPr>
          <w:bCs/>
          <w:lang w:val="en-GB" w:eastAsia="ja-JP"/>
        </w:rPr>
      </w:pPr>
    </w:p>
    <w:p w14:paraId="1514FD60" w14:textId="5DF627A9" w:rsidR="00074730" w:rsidRPr="00074730" w:rsidRDefault="00074730" w:rsidP="00074730">
      <w:pPr>
        <w:rPr>
          <w:bCs/>
          <w:lang w:val="en-GB" w:eastAsia="ja-JP"/>
        </w:rPr>
      </w:pPr>
      <w:r w:rsidRPr="00074730">
        <w:rPr>
          <w:bCs/>
          <w:lang w:val="en-GB" w:eastAsia="ja-JP"/>
        </w:rPr>
        <w:t>SMTC measurement gap configuration</w:t>
      </w:r>
      <w:r>
        <w:rPr>
          <w:bCs/>
          <w:lang w:val="en-GB" w:eastAsia="ja-JP"/>
        </w:rPr>
        <w:t>s</w:t>
      </w:r>
      <w:r w:rsidRPr="00074730">
        <w:rPr>
          <w:bCs/>
          <w:lang w:val="en-GB" w:eastAsia="ja-JP"/>
        </w:rPr>
        <w:t xml:space="preserve"> must consider the propagation delay delta between NTN cells, otherwise the UE may miss the SSB/CSI-RS measurement window and will thus be unable to perform measurements on the configured reference signals. This problem may be present for various NTN types/scenarios, including for NGSO scenarios as large cell footprints may have significant propagation delay differences.</w:t>
      </w:r>
    </w:p>
    <w:p w14:paraId="61490DA9" w14:textId="77777777" w:rsidR="00074730" w:rsidRPr="00074730" w:rsidRDefault="00074730" w:rsidP="00074730">
      <w:pPr>
        <w:rPr>
          <w:bCs/>
          <w:lang w:val="en-GB" w:eastAsia="ja-JP"/>
        </w:rPr>
      </w:pPr>
    </w:p>
    <w:p w14:paraId="4BA2853B" w14:textId="4A9DF8AA" w:rsidR="00074730" w:rsidRPr="00074730" w:rsidRDefault="00074730" w:rsidP="00074730">
      <w:pPr>
        <w:rPr>
          <w:bCs/>
          <w:lang w:val="en-GB" w:eastAsia="ja-JP"/>
        </w:rPr>
      </w:pPr>
      <w:r w:rsidRPr="00074730">
        <w:rPr>
          <w:bCs/>
          <w:lang w:val="en-GB" w:eastAsia="ja-JP"/>
        </w:rPr>
        <w:t>Following was captured in the TR 38.821 [1]: The network can compensate for propagation delay differences in the UE measurement window, e.g., via system information, or in a UE specific manner via dedicated signalling. Other solutions to this issue are not precluded.</w:t>
      </w:r>
    </w:p>
    <w:p w14:paraId="474BA399" w14:textId="77777777" w:rsidR="00074730" w:rsidRDefault="00074730" w:rsidP="005D7166">
      <w:pPr>
        <w:rPr>
          <w:b/>
          <w:i/>
          <w:iCs/>
          <w:lang w:val="en-GB" w:eastAsia="ja-JP"/>
        </w:rPr>
      </w:pPr>
    </w:p>
    <w:p w14:paraId="699BDC73" w14:textId="275D736C" w:rsidR="006C5FC4" w:rsidRPr="005D7166" w:rsidRDefault="006C5FC4" w:rsidP="005D7166">
      <w:pPr>
        <w:rPr>
          <w:bCs/>
          <w:i/>
          <w:iCs/>
          <w:lang w:val="en-GB" w:eastAsia="ja-JP"/>
        </w:rPr>
      </w:pPr>
      <w:r w:rsidRPr="005D7166">
        <w:rPr>
          <w:b/>
          <w:i/>
          <w:iCs/>
          <w:lang w:val="en-GB" w:eastAsia="ja-JP"/>
        </w:rPr>
        <w:t xml:space="preserve">Observation 3: </w:t>
      </w:r>
      <w:r w:rsidR="00B44A2F">
        <w:rPr>
          <w:i/>
          <w:iCs/>
          <w:lang w:val="en-GB"/>
        </w:rPr>
        <w:t>M</w:t>
      </w:r>
      <w:r w:rsidR="00B44A2F" w:rsidRPr="00B44A2F">
        <w:rPr>
          <w:i/>
          <w:iCs/>
          <w:lang w:val="en-GB"/>
        </w:rPr>
        <w:t>easurement gap configurations must consider the propagation delay delta between NTN cells, otherwise the UE may miss the SSB/CSI-RS measurement window and will thus be unable to perform measurements</w:t>
      </w:r>
      <w:r w:rsidRPr="005D7166">
        <w:rPr>
          <w:bCs/>
          <w:i/>
          <w:iCs/>
          <w:lang w:val="en-GB" w:eastAsia="ja-JP"/>
        </w:rPr>
        <w:t>.</w:t>
      </w:r>
    </w:p>
    <w:p w14:paraId="3465661A" w14:textId="13E81F9E" w:rsidR="00CD175B" w:rsidRDefault="00CD175B" w:rsidP="005D7166">
      <w:pPr>
        <w:rPr>
          <w:i/>
          <w:iCs/>
          <w:lang w:val="en-GB"/>
        </w:rPr>
      </w:pPr>
      <w:r w:rsidRPr="005D7166">
        <w:rPr>
          <w:b/>
          <w:i/>
          <w:iCs/>
          <w:lang w:val="en-GB" w:eastAsia="ja-JP"/>
        </w:rPr>
        <w:t xml:space="preserve">Observation 4: </w:t>
      </w:r>
      <w:r w:rsidR="00B44A2F">
        <w:rPr>
          <w:i/>
          <w:iCs/>
          <w:lang w:val="en-GB"/>
        </w:rPr>
        <w:t>The Ne</w:t>
      </w:r>
      <w:r w:rsidR="00B44A2F" w:rsidRPr="00B44A2F">
        <w:rPr>
          <w:i/>
          <w:iCs/>
          <w:lang w:val="en-GB"/>
        </w:rPr>
        <w:t>twork can compensate for propagation delay differences in the UE measurement window, e.g., via system information, or in a UE specific manner via dedicated signalling</w:t>
      </w:r>
      <w:r w:rsidRPr="005D7166">
        <w:rPr>
          <w:i/>
          <w:iCs/>
          <w:lang w:val="en-GB"/>
        </w:rPr>
        <w:t>.</w:t>
      </w:r>
    </w:p>
    <w:p w14:paraId="33BA0BD7" w14:textId="77777777" w:rsidR="002D77C5" w:rsidRPr="005D7166" w:rsidRDefault="002D77C5" w:rsidP="005D7166">
      <w:pPr>
        <w:rPr>
          <w:i/>
          <w:iCs/>
          <w:lang w:val="en-GB"/>
        </w:rPr>
      </w:pPr>
    </w:p>
    <w:p w14:paraId="570B32A7" w14:textId="77777777" w:rsidR="002D77C5" w:rsidRDefault="002D77C5" w:rsidP="006C5FC4">
      <w:pPr>
        <w:rPr>
          <w:rFonts w:ascii="Arial" w:hAnsi="Arial" w:cs="Arial"/>
          <w:bCs/>
          <w:i/>
          <w:iCs/>
          <w:lang w:val="en-GB" w:eastAsia="ja-JP"/>
        </w:rPr>
      </w:pPr>
    </w:p>
    <w:p w14:paraId="63DA6BE3" w14:textId="01C48148" w:rsidR="00B44A2F" w:rsidRDefault="00B44A2F" w:rsidP="00B44A2F">
      <w:pPr>
        <w:pStyle w:val="Heading4"/>
      </w:pPr>
      <w:r w:rsidRPr="00E501AE">
        <w:t>2.</w:t>
      </w:r>
      <w:r>
        <w:t>2</w:t>
      </w:r>
      <w:r w:rsidRPr="00E501AE">
        <w:t xml:space="preserve"> </w:t>
      </w:r>
      <w:r>
        <w:t>NTN SMTC Measurement Gap Configuration Potential Solutions</w:t>
      </w:r>
    </w:p>
    <w:p w14:paraId="6D1A24CC" w14:textId="63A10DBC" w:rsidR="00B44A2F" w:rsidRDefault="00185FFA" w:rsidP="002D77C5">
      <w:r>
        <w:t xml:space="preserve">Per the agreements RAN2#113bis-e, e.g., </w:t>
      </w:r>
      <w:r w:rsidRPr="00185FFA">
        <w:t>R2-2102866</w:t>
      </w:r>
      <w:r w:rsidRPr="00185FFA">
        <w:tab/>
      </w:r>
      <w:r>
        <w:t xml:space="preserve">and </w:t>
      </w:r>
      <w:r w:rsidRPr="00185FFA">
        <w:t>R2-2104372</w:t>
      </w:r>
      <w:r>
        <w:t xml:space="preserve">, new UE assistance is defined in Rel-17 NTN for network to properly (re)configure the SMTC and/or measurement gap. And for the network to update the SMTC configuration of the UE to accommodate the different propagation delays. </w:t>
      </w:r>
      <w:r w:rsidRPr="00185FFA">
        <w:t xml:space="preserve"> </w:t>
      </w:r>
      <w:r w:rsidR="00D76439">
        <w:t xml:space="preserve">Below describes several options </w:t>
      </w:r>
      <w:r>
        <w:t xml:space="preserve">for SMTC configuration </w:t>
      </w:r>
      <w:r w:rsidR="00D76439">
        <w:t xml:space="preserve">addressing the </w:t>
      </w:r>
      <w:bookmarkStart w:id="2" w:name="_Hlk68087965"/>
      <w:r w:rsidR="00D76439">
        <w:t>propagation delay differences between two NTN cells (one serving, one or more neighbor cells)</w:t>
      </w:r>
      <w:bookmarkEnd w:id="2"/>
      <w:r w:rsidR="00D76439">
        <w:t>.</w:t>
      </w:r>
    </w:p>
    <w:p w14:paraId="1E89A667" w14:textId="59F71AD2" w:rsidR="00B44A2F" w:rsidRPr="00D76439" w:rsidRDefault="00B44A2F" w:rsidP="002D77C5">
      <w:pPr>
        <w:rPr>
          <w:b/>
          <w:bCs/>
          <w:sz w:val="24"/>
          <w:szCs w:val="24"/>
        </w:rPr>
      </w:pPr>
      <w:r w:rsidRPr="00D76439">
        <w:rPr>
          <w:b/>
          <w:bCs/>
          <w:sz w:val="24"/>
          <w:szCs w:val="24"/>
        </w:rPr>
        <w:t>Option 1:</w:t>
      </w:r>
    </w:p>
    <w:p w14:paraId="0AF02019" w14:textId="5C911A71" w:rsidR="00B44A2F" w:rsidRDefault="00EA1352" w:rsidP="00B44A2F">
      <w:r>
        <w:t>One potential solution is</w:t>
      </w:r>
      <w:r w:rsidR="00B44A2F">
        <w:t xml:space="preserve"> to enable </w:t>
      </w:r>
      <w:r>
        <w:t xml:space="preserve">several </w:t>
      </w:r>
      <w:r w:rsidR="00B44A2F">
        <w:t xml:space="preserve">SMTC measurement gap configurations for NTN-enabled UE, in the presence of one or more NTN cells and/or </w:t>
      </w:r>
      <w:r>
        <w:t xml:space="preserve">NTN </w:t>
      </w:r>
      <w:r w:rsidR="00B44A2F">
        <w:t>cell types</w:t>
      </w:r>
      <w:r>
        <w:t xml:space="preserve"> (LEO, MEO, HAPS, etc.)</w:t>
      </w:r>
      <w:r w:rsidR="00B44A2F">
        <w:t xml:space="preserve">. </w:t>
      </w:r>
      <w:r>
        <w:t>This could involve</w:t>
      </w:r>
      <w:r w:rsidR="00B44A2F">
        <w:t xml:space="preserve"> one or more of the following steps</w:t>
      </w:r>
      <w:r>
        <w:t>/criteria</w:t>
      </w:r>
      <w:r w:rsidR="00B44A2F">
        <w:t>. The network may have a priori knowledge of UE location, coarse or otherwise, as well as the location, orbits, trajectories (satellite ephemeris) of NTN cells. With this information, the UE may receive from the network, RRC measurement configuration message(s) inclusive of MG configuration(s).</w:t>
      </w:r>
    </w:p>
    <w:p w14:paraId="390C0A8B" w14:textId="742504CD" w:rsidR="00B44A2F" w:rsidRDefault="00B44A2F" w:rsidP="00B44A2F">
      <w:r>
        <w:t xml:space="preserve">These MG configurations include timing-related parameters relative to the serving cell NTN scenario type. Additionally, </w:t>
      </w:r>
      <w:r w:rsidR="00EA1352">
        <w:t xml:space="preserve">potentially </w:t>
      </w:r>
      <w:r>
        <w:t xml:space="preserve">a </w:t>
      </w:r>
      <w:r w:rsidR="00EA1352">
        <w:t>number</w:t>
      </w:r>
      <w:r>
        <w:t xml:space="preserve"> of additional MG configuration timing-related parameters relative to the propagation delay of </w:t>
      </w:r>
      <w:r w:rsidR="00EA1352">
        <w:t xml:space="preserve">the </w:t>
      </w:r>
      <w:r>
        <w:t xml:space="preserve">neighbor NTN cells </w:t>
      </w:r>
      <w:r w:rsidR="00EA1352">
        <w:t>a</w:t>
      </w:r>
      <w:r>
        <w:t>s determined by one or more of the following:</w:t>
      </w:r>
    </w:p>
    <w:p w14:paraId="1DFD3776" w14:textId="4142E36A" w:rsidR="00B44A2F" w:rsidRDefault="00B44A2F" w:rsidP="00EA1352">
      <w:pPr>
        <w:ind w:left="288"/>
      </w:pPr>
      <w:r>
        <w:t>i.</w:t>
      </w:r>
      <w:r>
        <w:tab/>
        <w:t>Satellite ephemeris data for earth-fixed or moving NTN cells and UE location</w:t>
      </w:r>
      <w:r w:rsidR="00EA1352">
        <w:t xml:space="preserve"> (Note this may not be entirely accurate timing)</w:t>
      </w:r>
    </w:p>
    <w:p w14:paraId="16456FDA" w14:textId="77777777" w:rsidR="00B44A2F" w:rsidRDefault="00B44A2F" w:rsidP="00EA1352">
      <w:pPr>
        <w:ind w:left="288"/>
      </w:pPr>
      <w:r>
        <w:t>ii.</w:t>
      </w:r>
      <w:r>
        <w:tab/>
        <w:t>UE timing measurements (e.g., RTT)</w:t>
      </w:r>
    </w:p>
    <w:p w14:paraId="00E0CAB4" w14:textId="77777777" w:rsidR="00B44A2F" w:rsidRDefault="00B44A2F" w:rsidP="00EA1352">
      <w:pPr>
        <w:ind w:left="288"/>
      </w:pPr>
      <w:r>
        <w:t>iii.</w:t>
      </w:r>
      <w:r>
        <w:tab/>
        <w:t>Timing relationship between serving and neighbor NTN cells</w:t>
      </w:r>
    </w:p>
    <w:p w14:paraId="4ACCF9F6" w14:textId="77777777" w:rsidR="00B44A2F" w:rsidRDefault="00B44A2F" w:rsidP="00EA1352">
      <w:pPr>
        <w:ind w:left="288"/>
      </w:pPr>
      <w:r>
        <w:t>iv.</w:t>
      </w:r>
      <w:r>
        <w:tab/>
        <w:t>Priority related to cell (re)selection NTN type</w:t>
      </w:r>
    </w:p>
    <w:p w14:paraId="349E3068" w14:textId="0CCD4627" w:rsidR="00B44A2F" w:rsidRDefault="00B44A2F" w:rsidP="00EA1352">
      <w:pPr>
        <w:ind w:left="288"/>
      </w:pPr>
      <w:r>
        <w:t>v.</w:t>
      </w:r>
      <w:r>
        <w:tab/>
        <w:t>NTN cell orbit type (e.g., LEO, MEO, GEO, HAPS). Note that the propagation delay may vary for the same NTN cell type depending on the altitude of the orbit(s)</w:t>
      </w:r>
      <w:r w:rsidR="00EA1352">
        <w:t>, which could be significant.</w:t>
      </w:r>
    </w:p>
    <w:p w14:paraId="33B3C326" w14:textId="6071C314" w:rsidR="00B44A2F" w:rsidRDefault="00B44A2F" w:rsidP="00EA1352">
      <w:pPr>
        <w:ind w:left="288"/>
      </w:pPr>
      <w:r>
        <w:t>vi.</w:t>
      </w:r>
      <w:r>
        <w:tab/>
        <w:t xml:space="preserve">Timer or time of day </w:t>
      </w:r>
      <w:r w:rsidR="00DE58C7">
        <w:t xml:space="preserve">associated </w:t>
      </w:r>
      <w:r w:rsidR="00B96231">
        <w:t xml:space="preserve">with </w:t>
      </w:r>
      <w:r w:rsidR="00DE58C7">
        <w:t>when an NTN cell is or will be visible to the UE</w:t>
      </w:r>
    </w:p>
    <w:p w14:paraId="12525995" w14:textId="1153CFFA" w:rsidR="00B44A2F" w:rsidRDefault="00B44A2F" w:rsidP="00B44A2F">
      <w:r>
        <w:t>The MG configurations, associated timing offsets/adjustments, may be determined/calculated</w:t>
      </w:r>
      <w:r w:rsidR="00897CEE">
        <w:t xml:space="preserve"> by the UE</w:t>
      </w:r>
      <w:r>
        <w:t xml:space="preserve"> or network derived/aided or both. The configuration could be specific to a UE, multiple UE in same vicinity</w:t>
      </w:r>
      <w:r w:rsidR="00D76439">
        <w:t xml:space="preserve"> (broadcast over SI)</w:t>
      </w:r>
      <w:r>
        <w:t xml:space="preserve">, </w:t>
      </w:r>
      <w:r w:rsidR="00D76439">
        <w:t>and/</w:t>
      </w:r>
      <w:r>
        <w:t xml:space="preserve">or the same frequency with a </w:t>
      </w:r>
      <w:r w:rsidR="00D76439">
        <w:t xml:space="preserve">potentially </w:t>
      </w:r>
      <w:r>
        <w:t xml:space="preserve">larger and/or dynamic measurement window. </w:t>
      </w:r>
    </w:p>
    <w:p w14:paraId="77CCC58D" w14:textId="03D27809" w:rsidR="00B44A2F" w:rsidRDefault="00EA1352" w:rsidP="00B44A2F">
      <w:r>
        <w:t>Alternatively</w:t>
      </w:r>
      <w:r w:rsidR="00B44A2F">
        <w:t xml:space="preserve">, a UE, may receive from the network, a MG offset pre-configuration to adjust/compensate for timing relationships between serving cell propagation delay and neighbor cell(s) propagation delay, differentiated by NTN cell type (see </w:t>
      </w:r>
      <w:r>
        <w:t>example</w:t>
      </w:r>
      <w:r w:rsidR="00B44A2F">
        <w:t xml:space="preserve"> as follows for </w:t>
      </w:r>
      <w:r w:rsidR="00B44A2F" w:rsidRPr="00EA1352">
        <w:rPr>
          <w:i/>
          <w:iCs/>
        </w:rPr>
        <w:lastRenderedPageBreak/>
        <w:t>MeasGapConfig</w:t>
      </w:r>
      <w:r w:rsidR="00B44A2F">
        <w:t>). The MG time-related parameters specific to NTN scenarios including, but not limited to, gap offset, MG length, MG repetition period, and MG timing advance can also be derived as shown below using TS 38.331 section 6.3.2 as a baseline</w:t>
      </w:r>
      <w:r>
        <w:t xml:space="preserve"> for potential new configuration elements (as highlighted below)</w:t>
      </w:r>
      <w:r w:rsidR="00B44A2F">
        <w:t>:</w:t>
      </w:r>
    </w:p>
    <w:p w14:paraId="2C4D700A" w14:textId="77777777" w:rsidR="00EA1352" w:rsidRPr="00EA1352" w:rsidRDefault="00EA1352" w:rsidP="00EA1352">
      <w:pPr>
        <w:spacing w:after="200" w:line="276" w:lineRule="auto"/>
        <w:rPr>
          <w:rFonts w:ascii="Arial" w:eastAsia="MS Mincho" w:hAnsi="Arial" w:cs="Arial"/>
          <w:i/>
          <w:iCs/>
          <w:sz w:val="24"/>
          <w:szCs w:val="24"/>
          <w:lang w:val="en-GB" w:eastAsia="ja-JP"/>
        </w:rPr>
      </w:pPr>
      <w:bookmarkStart w:id="3" w:name="_Toc60777253"/>
      <w:bookmarkStart w:id="4" w:name="_Toc60868034"/>
      <w:r w:rsidRPr="00EA1352">
        <w:rPr>
          <w:rFonts w:ascii="Arial" w:hAnsi="Arial" w:cs="Arial"/>
          <w:i/>
          <w:iCs/>
          <w:sz w:val="24"/>
          <w:szCs w:val="24"/>
          <w:lang w:val="en-GB" w:eastAsia="ja-JP"/>
        </w:rPr>
        <w:t>–</w:t>
      </w:r>
      <w:r w:rsidRPr="00EA1352">
        <w:rPr>
          <w:rFonts w:ascii="Arial" w:hAnsi="Arial" w:cs="Arial"/>
          <w:i/>
          <w:iCs/>
          <w:sz w:val="24"/>
          <w:szCs w:val="24"/>
          <w:lang w:val="en-GB" w:eastAsia="ja-JP"/>
        </w:rPr>
        <w:tab/>
        <w:t>MeasGapConfig</w:t>
      </w:r>
      <w:bookmarkEnd w:id="3"/>
      <w:bookmarkEnd w:id="4"/>
    </w:p>
    <w:p w14:paraId="31D00BCC" w14:textId="77777777" w:rsidR="00EA1352" w:rsidRPr="0050286B" w:rsidRDefault="00EA1352" w:rsidP="00EA1352">
      <w:pPr>
        <w:overflowPunct w:val="0"/>
        <w:autoSpaceDE w:val="0"/>
        <w:autoSpaceDN w:val="0"/>
        <w:adjustRightInd w:val="0"/>
        <w:spacing w:after="180" w:line="240" w:lineRule="auto"/>
        <w:textAlignment w:val="baseline"/>
        <w:rPr>
          <w:rFonts w:eastAsia="Times New Roman"/>
          <w:lang w:val="en-GB" w:eastAsia="ja-JP"/>
        </w:rPr>
      </w:pPr>
      <w:r w:rsidRPr="0050286B">
        <w:rPr>
          <w:rFonts w:eastAsia="Times New Roman"/>
          <w:lang w:val="en-GB" w:eastAsia="ja-JP"/>
        </w:rPr>
        <w:t xml:space="preserve">The IE </w:t>
      </w:r>
      <w:r w:rsidRPr="0050286B">
        <w:rPr>
          <w:rFonts w:eastAsia="Times New Roman"/>
          <w:i/>
          <w:lang w:val="en-GB" w:eastAsia="ja-JP"/>
        </w:rPr>
        <w:t>MeasGapConfig</w:t>
      </w:r>
      <w:r w:rsidRPr="0050286B">
        <w:rPr>
          <w:rFonts w:eastAsia="Times New Roman"/>
          <w:lang w:val="en-GB" w:eastAsia="ja-JP"/>
        </w:rPr>
        <w:t xml:space="preserve"> specifies the measurement gap configuration and controls setup/release of measurement gaps.</w:t>
      </w:r>
    </w:p>
    <w:p w14:paraId="1561549F" w14:textId="77777777" w:rsidR="00EA1352" w:rsidRPr="0050286B" w:rsidRDefault="00EA1352" w:rsidP="00EA1352">
      <w:pPr>
        <w:keepNext/>
        <w:keepLines/>
        <w:overflowPunct w:val="0"/>
        <w:autoSpaceDE w:val="0"/>
        <w:autoSpaceDN w:val="0"/>
        <w:adjustRightInd w:val="0"/>
        <w:spacing w:before="60" w:after="180" w:line="240" w:lineRule="auto"/>
        <w:jc w:val="center"/>
        <w:textAlignment w:val="baseline"/>
        <w:rPr>
          <w:rFonts w:ascii="Arial" w:eastAsia="Times New Roman" w:hAnsi="Arial"/>
          <w:b/>
          <w:lang w:val="en-GB" w:eastAsia="ja-JP"/>
        </w:rPr>
      </w:pPr>
      <w:r w:rsidRPr="0050286B">
        <w:rPr>
          <w:rFonts w:ascii="Arial" w:eastAsia="Times New Roman" w:hAnsi="Arial"/>
          <w:b/>
          <w:bCs/>
          <w:i/>
          <w:iCs/>
          <w:lang w:val="en-GB" w:eastAsia="ja-JP"/>
        </w:rPr>
        <w:t xml:space="preserve">MeasGapConfig </w:t>
      </w:r>
      <w:r w:rsidRPr="0050286B">
        <w:rPr>
          <w:rFonts w:ascii="Arial" w:eastAsia="Times New Roman" w:hAnsi="Arial"/>
          <w:b/>
          <w:lang w:val="en-GB" w:eastAsia="ja-JP"/>
        </w:rPr>
        <w:t>information element</w:t>
      </w:r>
    </w:p>
    <w:p w14:paraId="51F8247D"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ASN1START</w:t>
      </w:r>
    </w:p>
    <w:p w14:paraId="379CA94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TAG-MEASGAPCONFIG-START</w:t>
      </w:r>
    </w:p>
    <w:p w14:paraId="1015CDED"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2F89B02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MeasGapConfig ::=                   </w:t>
      </w:r>
      <w:r w:rsidRPr="0050286B">
        <w:rPr>
          <w:rFonts w:ascii="Courier New" w:eastAsia="Times New Roman" w:hAnsi="Courier New"/>
          <w:noProof/>
          <w:color w:val="993366"/>
          <w:sz w:val="16"/>
          <w:lang w:val="en-GB" w:eastAsia="en-GB"/>
        </w:rPr>
        <w:t>SEQUENCE</w:t>
      </w:r>
      <w:r w:rsidRPr="0050286B">
        <w:rPr>
          <w:rFonts w:ascii="Courier New" w:eastAsia="Times New Roman" w:hAnsi="Courier New"/>
          <w:noProof/>
          <w:sz w:val="16"/>
          <w:lang w:val="en-GB" w:eastAsia="en-GB"/>
        </w:rPr>
        <w:t xml:space="preserve"> {</w:t>
      </w:r>
    </w:p>
    <w:p w14:paraId="503689D9"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gapFR2                              SetupRelease { GapConfig }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Need M</w:t>
      </w:r>
    </w:p>
    <w:p w14:paraId="57533BF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2F2FA54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51E38F7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gapFR1                              SetupRelease { GapConfig }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Need M</w:t>
      </w:r>
    </w:p>
    <w:p w14:paraId="2BC270B5" w14:textId="32611109"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themeColor="background1" w:themeShade="80"/>
          <w:sz w:val="16"/>
          <w:szCs w:val="16"/>
          <w:lang w:val="en-GB" w:eastAsia="en-GB"/>
        </w:rPr>
      </w:pPr>
      <w:r w:rsidRPr="20517F28">
        <w:rPr>
          <w:rFonts w:ascii="Courier New" w:eastAsia="Times New Roman" w:hAnsi="Courier New"/>
          <w:noProof/>
          <w:sz w:val="16"/>
          <w:szCs w:val="16"/>
          <w:lang w:val="en-GB" w:eastAsia="en-GB"/>
        </w:rPr>
        <w:t xml:space="preserve">    gapUE                               SetupRelease { GapConfig }</w:t>
      </w:r>
    </w:p>
    <w:p w14:paraId="2204CFA8" w14:textId="575E57E6"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lang w:val="en-GB" w:eastAsia="en-GB"/>
        </w:rPr>
      </w:pP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993366"/>
          <w:sz w:val="16"/>
          <w:szCs w:val="16"/>
          <w:lang w:val="en-GB" w:eastAsia="en-GB"/>
        </w:rPr>
        <w:t>OPTIONAL</w:t>
      </w: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808080" w:themeColor="background1" w:themeShade="80"/>
          <w:sz w:val="16"/>
          <w:szCs w:val="16"/>
          <w:lang w:val="en-GB" w:eastAsia="en-GB"/>
        </w:rPr>
        <w:t>-- Need M</w:t>
      </w:r>
    </w:p>
    <w:p w14:paraId="4642EE81" w14:textId="2A2B6043" w:rsidR="31515C52" w:rsidRDefault="31515C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4374D158" w14:textId="0A7D70FF" w:rsidR="31515C52" w:rsidRPr="00626372" w:rsidRDefault="31515C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2D9F35AD" w14:textId="61DE7911"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sz w:val="16"/>
          <w:szCs w:val="16"/>
          <w:highlight w:val="yellow"/>
          <w:lang w:val="en-GB" w:eastAsia="en-GB"/>
        </w:rPr>
        <w:t>gapNTNLEO</w:t>
      </w:r>
      <w:r w:rsidR="75D8A5C5" w:rsidRPr="20517F28">
        <w:rPr>
          <w:rFonts w:ascii="Courier New" w:eastAsia="Times New Roman" w:hAnsi="Courier New"/>
          <w:noProof/>
          <w:sz w:val="16"/>
          <w:szCs w:val="16"/>
          <w:highlight w:val="yellow"/>
          <w:lang w:val="en-GB" w:eastAsia="en-GB"/>
        </w:rPr>
        <w:t>-</w:t>
      </w:r>
      <w:r w:rsidR="61741304"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4FDAF8ED" w14:textId="0CD9B1EB"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highlight w:val="yellow"/>
          <w:lang w:val="en-GB" w:eastAsia="en-GB"/>
        </w:rPr>
        <w:t xml:space="preserve">    gapNTNMEO</w:t>
      </w:r>
      <w:r w:rsidR="63C97668"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1E8C7617" w14:textId="2F05E34A" w:rsidR="00EA1352" w:rsidRP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highlight w:val="yellow"/>
          <w:lang w:val="en-GB" w:eastAsia="en-GB"/>
        </w:rPr>
      </w:pPr>
      <w:r w:rsidRPr="20517F28">
        <w:rPr>
          <w:rFonts w:ascii="Courier New" w:eastAsia="Times New Roman" w:hAnsi="Courier New"/>
          <w:noProof/>
          <w:sz w:val="16"/>
          <w:szCs w:val="16"/>
          <w:highlight w:val="yellow"/>
          <w:lang w:val="en-GB" w:eastAsia="en-GB"/>
        </w:rPr>
        <w:t xml:space="preserve">    gapNTNGEO</w:t>
      </w:r>
      <w:r w:rsidR="645CD892"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2677A9B2" w14:textId="2DB3216B"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20517F28">
        <w:rPr>
          <w:rFonts w:ascii="Courier New" w:eastAsia="Times New Roman" w:hAnsi="Courier New"/>
          <w:noProof/>
          <w:sz w:val="16"/>
          <w:szCs w:val="16"/>
          <w:highlight w:val="yellow"/>
          <w:lang w:val="en-GB" w:eastAsia="en-GB"/>
        </w:rPr>
        <w:t xml:space="preserve">    gapNTNHAPS</w:t>
      </w:r>
      <w:r w:rsidR="114F1B77" w:rsidRPr="20517F28">
        <w:rPr>
          <w:rFonts w:ascii="Courier New" w:eastAsia="Times New Roman" w:hAnsi="Courier New"/>
          <w:noProof/>
          <w:sz w:val="16"/>
          <w:szCs w:val="16"/>
          <w:highlight w:val="yellow"/>
          <w:lang w:val="en-GB" w:eastAsia="en-GB"/>
        </w:rPr>
        <w:t>-r17</w:t>
      </w:r>
      <w:r w:rsidRPr="20517F28">
        <w:rPr>
          <w:rFonts w:ascii="Courier New" w:eastAsia="Times New Roman" w:hAnsi="Courier New"/>
          <w:noProof/>
          <w:sz w:val="16"/>
          <w:szCs w:val="16"/>
          <w:highlight w:val="yellow"/>
          <w:lang w:val="en-GB" w:eastAsia="en-GB"/>
        </w:rPr>
        <w:t xml:space="preserve">       SEQUENCE (SIZE (1..maxNTN-r17)) OF SetupRelease { GapConfig }                                              </w:t>
      </w:r>
      <w:r w:rsidRPr="20517F28">
        <w:rPr>
          <w:rFonts w:ascii="Courier New" w:eastAsia="Times New Roman" w:hAnsi="Courier New"/>
          <w:noProof/>
          <w:color w:val="993366"/>
          <w:sz w:val="16"/>
          <w:szCs w:val="16"/>
          <w:highlight w:val="yellow"/>
          <w:lang w:val="en-GB" w:eastAsia="en-GB"/>
        </w:rPr>
        <w:t>OPTIONAL</w:t>
      </w:r>
      <w:r w:rsidRPr="20517F28">
        <w:rPr>
          <w:rFonts w:ascii="Courier New" w:eastAsia="Times New Roman" w:hAnsi="Courier New"/>
          <w:noProof/>
          <w:sz w:val="16"/>
          <w:szCs w:val="16"/>
          <w:highlight w:val="yellow"/>
          <w:lang w:val="en-GB" w:eastAsia="en-GB"/>
        </w:rPr>
        <w:t xml:space="preserve">   </w:t>
      </w:r>
      <w:r w:rsidRPr="20517F28">
        <w:rPr>
          <w:rFonts w:ascii="Courier New" w:eastAsia="Times New Roman" w:hAnsi="Courier New"/>
          <w:noProof/>
          <w:color w:val="808080" w:themeColor="background1" w:themeShade="80"/>
          <w:sz w:val="16"/>
          <w:szCs w:val="16"/>
          <w:highlight w:val="yellow"/>
          <w:lang w:val="en-GB" w:eastAsia="en-GB"/>
        </w:rPr>
        <w:t>-- Need M</w:t>
      </w:r>
    </w:p>
    <w:p w14:paraId="57B5D65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75EDEA0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43370CF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w:t>
      </w:r>
    </w:p>
    <w:p w14:paraId="31FA4404"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69101BD3"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GapConfig ::=                       </w:t>
      </w:r>
      <w:r w:rsidRPr="0050286B">
        <w:rPr>
          <w:rFonts w:ascii="Courier New" w:eastAsia="Times New Roman" w:hAnsi="Courier New"/>
          <w:noProof/>
          <w:color w:val="993366"/>
          <w:sz w:val="16"/>
          <w:lang w:val="en-GB" w:eastAsia="en-GB"/>
        </w:rPr>
        <w:t>SEQUENCE</w:t>
      </w:r>
      <w:r w:rsidRPr="0050286B">
        <w:rPr>
          <w:rFonts w:ascii="Courier New" w:eastAsia="Times New Roman" w:hAnsi="Courier New"/>
          <w:noProof/>
          <w:sz w:val="16"/>
          <w:lang w:val="en-GB" w:eastAsia="en-GB"/>
        </w:rPr>
        <w:t xml:space="preserve"> {</w:t>
      </w:r>
    </w:p>
    <w:p w14:paraId="2A086DB5"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gapOffset                           </w:t>
      </w:r>
      <w:r w:rsidRPr="0050286B">
        <w:rPr>
          <w:rFonts w:ascii="Courier New" w:eastAsia="Times New Roman" w:hAnsi="Courier New"/>
          <w:noProof/>
          <w:color w:val="993366"/>
          <w:sz w:val="16"/>
          <w:lang w:val="en-GB" w:eastAsia="en-GB"/>
        </w:rPr>
        <w:t>INTEGER</w:t>
      </w:r>
      <w:r w:rsidRPr="0050286B">
        <w:rPr>
          <w:rFonts w:ascii="Courier New" w:eastAsia="Times New Roman" w:hAnsi="Courier New"/>
          <w:noProof/>
          <w:sz w:val="16"/>
          <w:lang w:val="en-GB" w:eastAsia="en-GB"/>
        </w:rPr>
        <w:t xml:space="preserve"> (0..159),</w:t>
      </w:r>
    </w:p>
    <w:p w14:paraId="20657C7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mgl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{ms1dot5, ms3, ms3dot5, ms4, ms5dot5, ms6},</w:t>
      </w:r>
    </w:p>
    <w:p w14:paraId="7065A90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mgrp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{ms20, ms40, ms80, ms160},</w:t>
      </w:r>
    </w:p>
    <w:p w14:paraId="0712D87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mgta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{ms0, ms0dot25, ms0dot5},</w:t>
      </w:r>
    </w:p>
    <w:p w14:paraId="79076CE6"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2CE9B6AE"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1D120642"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refServCellIndicator                </w:t>
      </w:r>
      <w:r w:rsidRPr="0050286B">
        <w:rPr>
          <w:rFonts w:ascii="Courier New" w:eastAsia="Times New Roman" w:hAnsi="Courier New"/>
          <w:noProof/>
          <w:color w:val="993366"/>
          <w:sz w:val="16"/>
          <w:lang w:val="en-GB" w:eastAsia="en-GB"/>
        </w:rPr>
        <w:t>ENUMERATED</w:t>
      </w:r>
      <w:r w:rsidRPr="0050286B">
        <w:rPr>
          <w:rFonts w:ascii="Courier New" w:eastAsia="Times New Roman" w:hAnsi="Courier New"/>
          <w:noProof/>
          <w:sz w:val="16"/>
          <w:lang w:val="en-GB" w:eastAsia="en-GB"/>
        </w:rPr>
        <w:t xml:space="preserve"> {pCell, pSCell, mcg-FR2}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Cond NEDCorNRDC</w:t>
      </w:r>
    </w:p>
    <w:p w14:paraId="5786CBA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69405A14"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64CC8DE0"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refFR2ServCellAsyncCA-r16           ServCellIndex                                                       </w:t>
      </w:r>
      <w:r w:rsidRPr="0050286B">
        <w:rPr>
          <w:rFonts w:ascii="Courier New" w:eastAsia="Times New Roman" w:hAnsi="Courier New"/>
          <w:noProof/>
          <w:color w:val="993366"/>
          <w:sz w:val="16"/>
          <w:lang w:val="en-GB" w:eastAsia="en-GB"/>
        </w:rPr>
        <w:t>OPTIONAL</w:t>
      </w:r>
      <w:r w:rsidRPr="0050286B">
        <w:rPr>
          <w:rFonts w:ascii="Courier New" w:eastAsia="Times New Roman" w:hAnsi="Courier New"/>
          <w:noProof/>
          <w:sz w:val="16"/>
          <w:lang w:val="en-GB" w:eastAsia="en-GB"/>
        </w:rPr>
        <w:t xml:space="preserve">,   </w:t>
      </w:r>
      <w:r w:rsidRPr="0050286B">
        <w:rPr>
          <w:rFonts w:ascii="Courier New" w:eastAsia="Times New Roman" w:hAnsi="Courier New"/>
          <w:noProof/>
          <w:color w:val="808080"/>
          <w:sz w:val="16"/>
          <w:lang w:val="en-GB" w:eastAsia="en-GB"/>
        </w:rPr>
        <w:t>-- Cond AsyncCA</w:t>
      </w:r>
    </w:p>
    <w:p w14:paraId="166BB7B3" w14:textId="4C15DF7C" w:rsidR="00EA1352" w:rsidRDefault="00EA1352"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16"/>
          <w:lang w:val="en-GB" w:eastAsia="en-GB"/>
        </w:rPr>
      </w:pPr>
      <w:r w:rsidRPr="20517F28">
        <w:rPr>
          <w:rFonts w:ascii="Courier New" w:eastAsia="Times New Roman" w:hAnsi="Courier New"/>
          <w:noProof/>
          <w:sz w:val="16"/>
          <w:szCs w:val="16"/>
          <w:lang w:val="en-GB" w:eastAsia="en-GB"/>
        </w:rPr>
        <w:t xml:space="preserve">    mgl-r16,                            </w:t>
      </w:r>
      <w:r w:rsidRPr="20517F28">
        <w:rPr>
          <w:rFonts w:ascii="Courier New" w:eastAsia="Times New Roman" w:hAnsi="Courier New"/>
          <w:noProof/>
          <w:color w:val="993366"/>
          <w:sz w:val="16"/>
          <w:szCs w:val="16"/>
          <w:lang w:val="en-GB" w:eastAsia="en-GB"/>
        </w:rPr>
        <w:t>ENUMERATED</w:t>
      </w:r>
      <w:r w:rsidRPr="20517F28">
        <w:rPr>
          <w:rFonts w:ascii="Courier New" w:eastAsia="Times New Roman" w:hAnsi="Courier New"/>
          <w:noProof/>
          <w:sz w:val="16"/>
          <w:szCs w:val="16"/>
          <w:lang w:val="en-GB" w:eastAsia="en-GB"/>
        </w:rPr>
        <w:t xml:space="preserve"> {ms10, ms20}                                             </w:t>
      </w:r>
      <w:r w:rsidRPr="20517F28">
        <w:rPr>
          <w:rFonts w:ascii="Courier New" w:eastAsia="Times New Roman" w:hAnsi="Courier New"/>
          <w:noProof/>
          <w:color w:val="993366"/>
          <w:sz w:val="16"/>
          <w:szCs w:val="16"/>
          <w:lang w:val="en-GB" w:eastAsia="en-GB"/>
        </w:rPr>
        <w:t>OPTIONAL</w:t>
      </w:r>
      <w:r w:rsidRPr="20517F28">
        <w:rPr>
          <w:rFonts w:ascii="Courier New" w:eastAsia="Times New Roman" w:hAnsi="Courier New"/>
          <w:noProof/>
          <w:sz w:val="16"/>
          <w:szCs w:val="16"/>
          <w:lang w:val="en-GB" w:eastAsia="en-GB"/>
        </w:rPr>
        <w:t xml:space="preserve">    </w:t>
      </w:r>
      <w:r w:rsidRPr="20517F28">
        <w:rPr>
          <w:rFonts w:ascii="Courier New" w:eastAsia="Times New Roman" w:hAnsi="Courier New"/>
          <w:noProof/>
          <w:color w:val="808080" w:themeColor="background1" w:themeShade="80"/>
          <w:sz w:val="16"/>
          <w:szCs w:val="16"/>
          <w:lang w:val="en-GB" w:eastAsia="en-GB"/>
        </w:rPr>
        <w:t>-- Cond PRS</w:t>
      </w:r>
    </w:p>
    <w:p w14:paraId="29189CE2" w14:textId="104469B1" w:rsidR="67DAA968" w:rsidRDefault="67DAA968"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51F9CB16" w14:textId="3CABECDD" w:rsidR="67DAA968" w:rsidRDefault="67DAA968" w:rsidP="20517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color w:val="808080" w:themeColor="background1" w:themeShade="80"/>
          <w:sz w:val="16"/>
          <w:szCs w:val="16"/>
          <w:highlight w:val="yellow"/>
          <w:lang w:val="en-GB" w:eastAsia="en-GB"/>
        </w:rPr>
      </w:pPr>
      <w:r w:rsidRPr="20517F28">
        <w:rPr>
          <w:rFonts w:ascii="Courier New" w:eastAsia="Times New Roman" w:hAnsi="Courier New" w:cs="Arial"/>
          <w:noProof/>
          <w:color w:val="808080" w:themeColor="background1" w:themeShade="80"/>
          <w:sz w:val="16"/>
          <w:szCs w:val="16"/>
          <w:lang w:val="en-GB" w:eastAsia="en-GB"/>
        </w:rPr>
        <w:t xml:space="preserve">    </w:t>
      </w:r>
      <w:r w:rsidRPr="00626372">
        <w:rPr>
          <w:rFonts w:ascii="Courier New" w:eastAsia="Times New Roman" w:hAnsi="Courier New" w:cs="Arial"/>
          <w:noProof/>
          <w:color w:val="808080" w:themeColor="background1" w:themeShade="80"/>
          <w:sz w:val="16"/>
          <w:szCs w:val="16"/>
          <w:highlight w:val="yellow"/>
          <w:lang w:val="en-GB" w:eastAsia="en-GB"/>
        </w:rPr>
        <w:t>[[</w:t>
      </w:r>
    </w:p>
    <w:p w14:paraId="3D730207" w14:textId="77777777" w:rsidR="00EA1352"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sz w:val="16"/>
          <w:lang w:val="en-GB" w:eastAsia="en-GB"/>
        </w:rPr>
        <w:t xml:space="preserve">    </w:t>
      </w:r>
      <w:r w:rsidRPr="00EA1352">
        <w:rPr>
          <w:rFonts w:ascii="Courier New" w:eastAsia="Times New Roman" w:hAnsi="Courier New"/>
          <w:noProof/>
          <w:sz w:val="16"/>
          <w:highlight w:val="yellow"/>
          <w:lang w:val="en-GB" w:eastAsia="en-GB"/>
        </w:rPr>
        <w:t xml:space="preserve">mgl-r17                             </w:t>
      </w:r>
      <w:r w:rsidRPr="00EA1352">
        <w:rPr>
          <w:rFonts w:ascii="Courier New" w:eastAsia="Times New Roman" w:hAnsi="Courier New"/>
          <w:noProof/>
          <w:color w:val="993366"/>
          <w:sz w:val="16"/>
          <w:highlight w:val="yellow"/>
          <w:lang w:val="en-GB" w:eastAsia="en-GB"/>
        </w:rPr>
        <w:t>ENUMERATED</w:t>
      </w:r>
      <w:r w:rsidRPr="00EA1352">
        <w:rPr>
          <w:rFonts w:ascii="Courier New" w:eastAsia="Times New Roman" w:hAnsi="Courier New"/>
          <w:noProof/>
          <w:sz w:val="16"/>
          <w:highlight w:val="yellow"/>
          <w:lang w:val="en-GB" w:eastAsia="en-GB"/>
        </w:rPr>
        <w:t xml:space="preserve"> {ms40, ms80, ...}                                             </w:t>
      </w:r>
      <w:r w:rsidRPr="00EA1352">
        <w:rPr>
          <w:rFonts w:ascii="Courier New" w:eastAsia="Times New Roman" w:hAnsi="Courier New"/>
          <w:noProof/>
          <w:color w:val="993366"/>
          <w:sz w:val="16"/>
          <w:highlight w:val="yellow"/>
          <w:lang w:val="en-GB" w:eastAsia="en-GB"/>
        </w:rPr>
        <w:t>OPTIONAL</w:t>
      </w:r>
      <w:r>
        <w:rPr>
          <w:rFonts w:ascii="Courier New" w:eastAsia="Times New Roman" w:hAnsi="Courier New"/>
          <w:noProof/>
          <w:color w:val="993366"/>
          <w:sz w:val="16"/>
          <w:highlight w:val="yellow"/>
          <w:lang w:val="en-GB" w:eastAsia="en-GB"/>
        </w:rPr>
        <w:t>,</w:t>
      </w:r>
      <w:r w:rsidRPr="00EA1352">
        <w:rPr>
          <w:rFonts w:ascii="Courier New" w:eastAsia="Times New Roman" w:hAnsi="Courier New"/>
          <w:noProof/>
          <w:sz w:val="16"/>
          <w:highlight w:val="yellow"/>
          <w:lang w:val="en-GB" w:eastAsia="en-GB"/>
        </w:rPr>
        <w:t xml:space="preserve">    </w:t>
      </w:r>
      <w:r w:rsidRPr="00EA1352">
        <w:rPr>
          <w:rFonts w:ascii="Courier New" w:eastAsia="Times New Roman" w:hAnsi="Courier New"/>
          <w:noProof/>
          <w:color w:val="808080"/>
          <w:sz w:val="16"/>
          <w:highlight w:val="yellow"/>
          <w:lang w:val="en-GB" w:eastAsia="en-GB"/>
        </w:rPr>
        <w:t>-- Cond NTN</w:t>
      </w:r>
    </w:p>
    <w:p w14:paraId="0021A2A2" w14:textId="77777777" w:rsidR="00EA1352" w:rsidRPr="00EA1352"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highlight w:val="yellow"/>
          <w:lang w:val="en-GB" w:eastAsia="en-GB"/>
        </w:rPr>
      </w:pPr>
      <w:r w:rsidRPr="00EA1352">
        <w:rPr>
          <w:rFonts w:ascii="Courier New" w:eastAsia="Times New Roman" w:hAnsi="Courier New"/>
          <w:noProof/>
          <w:sz w:val="16"/>
          <w:lang w:val="en-GB" w:eastAsia="en-GB"/>
        </w:rPr>
        <w:tab/>
      </w:r>
      <w:r w:rsidRPr="00EA1352">
        <w:rPr>
          <w:rFonts w:ascii="Courier New" w:eastAsia="Times New Roman" w:hAnsi="Courier New"/>
          <w:noProof/>
          <w:sz w:val="16"/>
          <w:highlight w:val="yellow"/>
          <w:lang w:val="en-GB" w:eastAsia="en-GB"/>
        </w:rPr>
        <w:t>gapOffsetNTN</w:t>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r>
      <w:r w:rsidRPr="00EA1352">
        <w:rPr>
          <w:rFonts w:ascii="Courier New" w:eastAsia="Times New Roman" w:hAnsi="Courier New"/>
          <w:noProof/>
          <w:sz w:val="16"/>
          <w:highlight w:val="yellow"/>
          <w:lang w:val="en-GB" w:eastAsia="en-GB"/>
        </w:rPr>
        <w:tab/>
        <w:t>INTEGER (</w:t>
      </w:r>
      <w:r>
        <w:rPr>
          <w:rFonts w:ascii="Courier New" w:eastAsia="Times New Roman" w:hAnsi="Courier New"/>
          <w:noProof/>
          <w:sz w:val="16"/>
          <w:highlight w:val="yellow"/>
          <w:lang w:val="en-GB" w:eastAsia="en-GB"/>
        </w:rPr>
        <w:t>-511</w:t>
      </w:r>
      <w:r w:rsidRPr="00EA1352">
        <w:rPr>
          <w:rFonts w:ascii="Courier New" w:eastAsia="Times New Roman" w:hAnsi="Courier New"/>
          <w:noProof/>
          <w:sz w:val="16"/>
          <w:highlight w:val="yellow"/>
          <w:lang w:val="en-GB" w:eastAsia="en-GB"/>
        </w:rPr>
        <w:t>..512)</w:t>
      </w:r>
    </w:p>
    <w:p w14:paraId="2568DD65"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EA1352">
        <w:rPr>
          <w:rFonts w:ascii="Courier New" w:eastAsia="Times New Roman" w:hAnsi="Courier New"/>
          <w:noProof/>
          <w:color w:val="808080"/>
          <w:sz w:val="16"/>
          <w:highlight w:val="yellow"/>
          <w:lang w:val="en-GB" w:eastAsia="en-GB"/>
        </w:rPr>
        <w:t>OPTIONAL</w:t>
      </w:r>
      <w:r w:rsidRPr="00EA1352">
        <w:rPr>
          <w:rFonts w:ascii="Courier New" w:eastAsia="Times New Roman" w:hAnsi="Courier New"/>
          <w:noProof/>
          <w:color w:val="808080"/>
          <w:sz w:val="16"/>
          <w:highlight w:val="yellow"/>
          <w:lang w:val="en-GB" w:eastAsia="en-GB"/>
        </w:rPr>
        <w:tab/>
        <w:t>-- Cond NTN</w:t>
      </w:r>
    </w:p>
    <w:p w14:paraId="43023C8A"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p>
    <w:p w14:paraId="47D961F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 xml:space="preserve">    ]]</w:t>
      </w:r>
    </w:p>
    <w:p w14:paraId="7990D0F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r w:rsidRPr="0050286B">
        <w:rPr>
          <w:rFonts w:ascii="Courier New" w:eastAsia="Times New Roman" w:hAnsi="Courier New"/>
          <w:noProof/>
          <w:sz w:val="16"/>
          <w:lang w:val="en-GB" w:eastAsia="en-GB"/>
        </w:rPr>
        <w:t>}</w:t>
      </w:r>
    </w:p>
    <w:p w14:paraId="43ACA9EF"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GB" w:eastAsia="en-GB"/>
        </w:rPr>
      </w:pPr>
    </w:p>
    <w:p w14:paraId="51FFFD61"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TAG-MEASGAPCONFIG-STOP</w:t>
      </w:r>
    </w:p>
    <w:p w14:paraId="64A85DFC" w14:textId="77777777" w:rsidR="00EA1352" w:rsidRPr="0050286B" w:rsidRDefault="00EA1352" w:rsidP="00EA1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val="en-GB" w:eastAsia="en-GB"/>
        </w:rPr>
      </w:pPr>
      <w:r w:rsidRPr="0050286B">
        <w:rPr>
          <w:rFonts w:ascii="Courier New" w:eastAsia="Times New Roman" w:hAnsi="Courier New"/>
          <w:noProof/>
          <w:color w:val="808080"/>
          <w:sz w:val="16"/>
          <w:lang w:val="en-GB" w:eastAsia="en-GB"/>
        </w:rPr>
        <w:t>-- ASN1STOP</w:t>
      </w:r>
    </w:p>
    <w:p w14:paraId="2A2A6E08" w14:textId="77777777" w:rsidR="00EA1352" w:rsidRPr="0050286B" w:rsidRDefault="00EA1352" w:rsidP="00EA1352">
      <w:pPr>
        <w:overflowPunct w:val="0"/>
        <w:autoSpaceDE w:val="0"/>
        <w:autoSpaceDN w:val="0"/>
        <w:adjustRightInd w:val="0"/>
        <w:spacing w:after="180" w:line="240" w:lineRule="auto"/>
        <w:textAlignment w:val="baseline"/>
        <w:rPr>
          <w:rFonts w:eastAsia="Times New Roman"/>
          <w:iCs/>
          <w:lang w:val="en-GB" w:eastAsia="ja-JP"/>
        </w:rPr>
      </w:pPr>
    </w:p>
    <w:tbl>
      <w:tblPr>
        <w:tblW w:w="95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35"/>
      </w:tblGrid>
      <w:tr w:rsidR="00EA1352" w:rsidRPr="0050286B" w14:paraId="01A13875" w14:textId="77777777" w:rsidTr="00EA1352">
        <w:trPr>
          <w:cantSplit/>
          <w:trHeight w:val="52"/>
          <w:tblHeader/>
        </w:trPr>
        <w:tc>
          <w:tcPr>
            <w:tcW w:w="9535" w:type="dxa"/>
            <w:tcBorders>
              <w:top w:val="single" w:sz="4" w:space="0" w:color="808080"/>
              <w:left w:val="single" w:sz="4" w:space="0" w:color="808080"/>
              <w:bottom w:val="single" w:sz="4" w:space="0" w:color="808080"/>
              <w:right w:val="single" w:sz="4" w:space="0" w:color="808080"/>
            </w:tcBorders>
            <w:hideMark/>
          </w:tcPr>
          <w:p w14:paraId="38CBE872" w14:textId="77777777" w:rsidR="00EA1352" w:rsidRPr="0050286B" w:rsidRDefault="00EA1352" w:rsidP="00A477A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GB" w:eastAsia="en-GB"/>
              </w:rPr>
            </w:pPr>
            <w:r w:rsidRPr="0050286B">
              <w:rPr>
                <w:rFonts w:ascii="Arial" w:eastAsia="Times New Roman" w:hAnsi="Arial"/>
                <w:b/>
                <w:i/>
                <w:sz w:val="18"/>
                <w:lang w:val="en-GB" w:eastAsia="en-GB"/>
              </w:rPr>
              <w:lastRenderedPageBreak/>
              <w:t>MeasGapConfig</w:t>
            </w:r>
            <w:r w:rsidRPr="0050286B">
              <w:rPr>
                <w:rFonts w:ascii="Arial" w:eastAsia="Times New Roman" w:hAnsi="Arial"/>
                <w:b/>
                <w:iCs/>
                <w:sz w:val="18"/>
                <w:lang w:val="en-GB" w:eastAsia="en-GB"/>
              </w:rPr>
              <w:t xml:space="preserve"> field descriptions</w:t>
            </w:r>
          </w:p>
        </w:tc>
      </w:tr>
      <w:tr w:rsidR="00EA1352" w:rsidRPr="0050286B" w14:paraId="1CD6269E"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20FF8838"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gapFR1</w:t>
            </w:r>
          </w:p>
          <w:p w14:paraId="06198A2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that </w:t>
            </w:r>
            <w:r w:rsidRPr="0050286B">
              <w:rPr>
                <w:rFonts w:ascii="Arial" w:eastAsia="Times New Roman" w:hAnsi="Arial"/>
                <w:sz w:val="18"/>
                <w:lang w:val="en-GB" w:eastAsia="sv-SE"/>
              </w:rPr>
              <w:t xml:space="preserve">applies to FR1 only. In (NG)EN-DC,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cannot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only LTE RRC can configure FR1 measurement gap). In NE-DC,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FR1 gap). In NR-DC,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can not be configured together with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The applicability of the FR1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3DC95727"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5E9443D1"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gapFR2</w:t>
            </w:r>
          </w:p>
          <w:p w14:paraId="78FA84E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sz w:val="18"/>
                <w:lang w:val="en-GB" w:eastAsia="sv-SE"/>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w:t>
            </w:r>
            <w:r w:rsidRPr="0050286B">
              <w:rPr>
                <w:rFonts w:ascii="Arial" w:eastAsia="Times New Roman" w:hAnsi="Arial"/>
                <w:sz w:val="18"/>
                <w:lang w:val="en-GB" w:eastAsia="sv-SE"/>
              </w:rPr>
              <w:t xml:space="preserve">applies to FR2 only. In (NG)EN-DC or NE-DC,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FR2 gap). In NR-DC,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cannot be configured together with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The applicability of the FR2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4537BEC7"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702146B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gapUE</w:t>
            </w:r>
          </w:p>
          <w:p w14:paraId="47A2A24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cs="Arial"/>
                <w:sz w:val="18"/>
                <w:szCs w:val="18"/>
                <w:lang w:val="en-GB" w:eastAsia="sv-SE"/>
              </w:rPr>
              <w:t>Indicates</w:t>
            </w:r>
            <w:r w:rsidRPr="0050286B">
              <w:rPr>
                <w:rFonts w:ascii="Arial" w:eastAsia="Times New Roman" w:hAnsi="Arial" w:cs="Arial"/>
                <w:sz w:val="18"/>
                <w:szCs w:val="18"/>
                <w:lang w:val="en-GB" w:eastAsia="zh-CN"/>
              </w:rPr>
              <w:t xml:space="preserve"> measurement gap configuration that </w:t>
            </w:r>
            <w:r w:rsidRPr="0050286B">
              <w:rPr>
                <w:rFonts w:ascii="Arial" w:eastAsia="Times New Roman" w:hAnsi="Arial"/>
                <w:sz w:val="18"/>
                <w:lang w:val="en-GB" w:eastAsia="sv-SE"/>
              </w:rPr>
              <w:t xml:space="preserve">applies to all frequencies (FR1 and FR2). In (NG)EN-DC,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cannot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only LTE RRC can configure per UE measurement gap). In NE-DC,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 only be set up by NR RRC (</w:t>
            </w:r>
            <w:proofErr w:type="gramStart"/>
            <w:r w:rsidRPr="0050286B">
              <w:rPr>
                <w:rFonts w:ascii="Arial" w:eastAsia="Times New Roman" w:hAnsi="Arial"/>
                <w:sz w:val="18"/>
                <w:lang w:val="en-GB" w:eastAsia="sv-SE"/>
              </w:rPr>
              <w:t>i.e.</w:t>
            </w:r>
            <w:proofErr w:type="gramEnd"/>
            <w:r w:rsidRPr="0050286B">
              <w:rPr>
                <w:rFonts w:ascii="Arial" w:eastAsia="Times New Roman" w:hAnsi="Arial"/>
                <w:sz w:val="18"/>
                <w:lang w:val="en-GB" w:eastAsia="sv-SE"/>
              </w:rPr>
              <w:t xml:space="preserve"> LTE RRC cannot configure per UE gap). In NR-DC,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can only be set up in the </w:t>
            </w:r>
            <w:r w:rsidRPr="0050286B">
              <w:rPr>
                <w:rFonts w:ascii="Arial" w:eastAsia="Times New Roman" w:hAnsi="Arial"/>
                <w:i/>
                <w:sz w:val="18"/>
                <w:lang w:val="en-GB" w:eastAsia="sv-SE"/>
              </w:rPr>
              <w:t>measConfig</w:t>
            </w:r>
            <w:r w:rsidRPr="0050286B">
              <w:rPr>
                <w:rFonts w:ascii="Arial" w:eastAsia="Times New Roman" w:hAnsi="Arial"/>
                <w:sz w:val="18"/>
                <w:lang w:val="en-GB" w:eastAsia="sv-SE"/>
              </w:rPr>
              <w:t xml:space="preserve"> associated with MCG. If </w:t>
            </w:r>
            <w:r w:rsidRPr="0050286B">
              <w:rPr>
                <w:rFonts w:ascii="Arial" w:eastAsia="Times New Roman" w:hAnsi="Arial"/>
                <w:i/>
                <w:sz w:val="18"/>
                <w:lang w:val="en-GB" w:eastAsia="sv-SE"/>
              </w:rPr>
              <w:t>gapUE</w:t>
            </w:r>
            <w:r w:rsidRPr="0050286B">
              <w:rPr>
                <w:rFonts w:ascii="Arial" w:eastAsia="Times New Roman" w:hAnsi="Arial"/>
                <w:sz w:val="18"/>
                <w:lang w:val="en-GB" w:eastAsia="sv-SE"/>
              </w:rPr>
              <w:t xml:space="preserve"> is configured, then neither </w:t>
            </w:r>
            <w:r w:rsidRPr="0050286B">
              <w:rPr>
                <w:rFonts w:ascii="Arial" w:eastAsia="Times New Roman" w:hAnsi="Arial"/>
                <w:i/>
                <w:sz w:val="18"/>
                <w:lang w:val="en-GB" w:eastAsia="sv-SE"/>
              </w:rPr>
              <w:t>gapFR1</w:t>
            </w:r>
            <w:r w:rsidRPr="0050286B">
              <w:rPr>
                <w:rFonts w:ascii="Arial" w:eastAsia="Times New Roman" w:hAnsi="Arial"/>
                <w:sz w:val="18"/>
                <w:lang w:val="en-GB" w:eastAsia="sv-SE"/>
              </w:rPr>
              <w:t xml:space="preserve"> nor </w:t>
            </w:r>
            <w:r w:rsidRPr="0050286B">
              <w:rPr>
                <w:rFonts w:ascii="Arial" w:eastAsia="Times New Roman" w:hAnsi="Arial"/>
                <w:i/>
                <w:sz w:val="18"/>
                <w:lang w:val="en-GB" w:eastAsia="sv-SE"/>
              </w:rPr>
              <w:t>gapFR2</w:t>
            </w:r>
            <w:r w:rsidRPr="0050286B">
              <w:rPr>
                <w:rFonts w:ascii="Arial" w:eastAsia="Times New Roman" w:hAnsi="Arial"/>
                <w:sz w:val="18"/>
                <w:lang w:val="en-GB" w:eastAsia="sv-SE"/>
              </w:rPr>
              <w:t xml:space="preserve"> can be configured. The applicability of the per UE measurement gap is according to </w:t>
            </w:r>
            <w:r w:rsidRPr="0050286B">
              <w:rPr>
                <w:rFonts w:ascii="Arial" w:eastAsia="Times New Roman" w:hAnsi="Arial"/>
                <w:snapToGrid w:val="0"/>
                <w:sz w:val="18"/>
                <w:lang w:val="en-GB" w:eastAsia="sv-SE"/>
              </w:rPr>
              <w:t>Table 9.1.2-2 and Table 9.1.2-3 in TS 38.133 [14]</w:t>
            </w:r>
            <w:r w:rsidRPr="0050286B">
              <w:rPr>
                <w:rFonts w:ascii="Arial" w:eastAsia="Times New Roman" w:hAnsi="Arial"/>
                <w:sz w:val="18"/>
                <w:lang w:val="en-GB" w:eastAsia="sv-SE"/>
              </w:rPr>
              <w:t>.</w:t>
            </w:r>
          </w:p>
        </w:tc>
      </w:tr>
      <w:tr w:rsidR="00EA1352" w:rsidRPr="0050286B" w14:paraId="3F24641F"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069EBB5A"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gapNTNLEO </w:t>
            </w:r>
          </w:p>
          <w:p w14:paraId="1286241F"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LEO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 </w:t>
            </w:r>
          </w:p>
        </w:tc>
      </w:tr>
      <w:tr w:rsidR="00EA1352" w:rsidRPr="0050286B" w14:paraId="0755FC21"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7221CF34"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gapNTNMEO </w:t>
            </w:r>
          </w:p>
          <w:p w14:paraId="1616E4D8"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MEO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45328558"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08B6204F"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gapNTNGEO </w:t>
            </w:r>
          </w:p>
          <w:p w14:paraId="4E023184"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GEO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4CC34A99"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3E326C7E"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 xml:space="preserve">gapNTNHAPS </w:t>
            </w:r>
          </w:p>
          <w:p w14:paraId="2F78EA5A"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cs="Arial"/>
                <w:sz w:val="18"/>
                <w:szCs w:val="18"/>
                <w:highlight w:val="yellow"/>
                <w:lang w:val="en-GB" w:eastAsia="sv-SE"/>
              </w:rPr>
              <w:t>Indicates</w:t>
            </w:r>
            <w:r w:rsidRPr="00EA1352">
              <w:rPr>
                <w:rFonts w:ascii="Arial" w:eastAsia="Times New Roman" w:hAnsi="Arial" w:cs="Arial"/>
                <w:sz w:val="18"/>
                <w:szCs w:val="18"/>
                <w:highlight w:val="yellow"/>
                <w:lang w:val="en-GB" w:eastAsia="zh-CN"/>
              </w:rPr>
              <w:t xml:space="preserve"> measurement gap configuration that </w:t>
            </w:r>
            <w:r w:rsidRPr="00EA1352">
              <w:rPr>
                <w:rFonts w:ascii="Arial" w:eastAsia="Times New Roman" w:hAnsi="Arial"/>
                <w:sz w:val="18"/>
                <w:highlight w:val="yellow"/>
                <w:lang w:val="en-GB" w:eastAsia="sv-SE"/>
              </w:rPr>
              <w:t xml:space="preserve">applies to all frequencies (FR1 and FR2) for NTN HAPS scenarios within the </w:t>
            </w:r>
            <w:r w:rsidRPr="00EA1352">
              <w:rPr>
                <w:rFonts w:ascii="Arial" w:eastAsia="Times New Roman" w:hAnsi="Arial"/>
                <w:i/>
                <w:sz w:val="18"/>
                <w:highlight w:val="yellow"/>
                <w:lang w:val="en-GB" w:eastAsia="sv-SE"/>
              </w:rPr>
              <w:t>measConfig</w:t>
            </w:r>
            <w:r w:rsidRPr="00EA1352">
              <w:rPr>
                <w:rFonts w:ascii="Arial" w:eastAsia="Times New Roman" w:hAnsi="Arial"/>
                <w:sz w:val="18"/>
                <w:highlight w:val="yellow"/>
                <w:lang w:val="en-GB" w:eastAsia="sv-SE"/>
              </w:rPr>
              <w:t xml:space="preserve"> associated with MCG.</w:t>
            </w:r>
          </w:p>
        </w:tc>
      </w:tr>
      <w:tr w:rsidR="00EA1352" w:rsidRPr="0050286B" w14:paraId="72A1B8A2"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7B11A97E"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gapOffset</w:t>
            </w:r>
          </w:p>
          <w:p w14:paraId="6FA045C6"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en-GB"/>
              </w:rPr>
              <w:t xml:space="preserve">Value </w:t>
            </w:r>
            <w:r w:rsidRPr="0050286B">
              <w:rPr>
                <w:rFonts w:ascii="Arial" w:eastAsia="Times New Roman" w:hAnsi="Arial"/>
                <w:i/>
                <w:sz w:val="18"/>
                <w:lang w:val="en-GB" w:eastAsia="en-GB"/>
              </w:rPr>
              <w:t>gapOffset</w:t>
            </w:r>
            <w:r w:rsidRPr="0050286B">
              <w:rPr>
                <w:rFonts w:ascii="Arial" w:eastAsia="Times New Roman" w:hAnsi="Arial"/>
                <w:sz w:val="18"/>
                <w:lang w:val="en-GB" w:eastAsia="en-GB"/>
              </w:rPr>
              <w:t xml:space="preserve"> is the gap offset of the gap pattern with MGRP indicate</w:t>
            </w:r>
            <w:r w:rsidRPr="0050286B">
              <w:rPr>
                <w:rFonts w:ascii="Arial" w:eastAsia="Times New Roman" w:hAnsi="Arial"/>
                <w:sz w:val="18"/>
                <w:lang w:val="en-GB" w:eastAsia="sv-SE"/>
              </w:rPr>
              <w:t>d</w:t>
            </w:r>
            <w:r w:rsidRPr="0050286B">
              <w:rPr>
                <w:rFonts w:ascii="Arial" w:eastAsia="Times New Roman" w:hAnsi="Arial"/>
                <w:sz w:val="18"/>
                <w:lang w:val="en-GB" w:eastAsia="en-GB"/>
              </w:rPr>
              <w:t xml:space="preserve"> in the field </w:t>
            </w:r>
            <w:r w:rsidRPr="0050286B">
              <w:rPr>
                <w:rFonts w:ascii="Arial" w:eastAsia="Times New Roman" w:hAnsi="Arial"/>
                <w:i/>
                <w:sz w:val="18"/>
                <w:lang w:val="en-GB" w:eastAsia="en-GB"/>
              </w:rPr>
              <w:t>mgrp</w:t>
            </w:r>
            <w:r w:rsidRPr="0050286B">
              <w:rPr>
                <w:rFonts w:ascii="Arial" w:eastAsia="Times New Roman" w:hAnsi="Arial"/>
                <w:sz w:val="18"/>
                <w:lang w:val="en-GB" w:eastAsia="en-GB"/>
              </w:rPr>
              <w:t xml:space="preserve">. The value range is from 0 to </w:t>
            </w:r>
            <w:r w:rsidRPr="0050286B">
              <w:rPr>
                <w:rFonts w:ascii="Arial" w:eastAsia="Times New Roman" w:hAnsi="Arial"/>
                <w:i/>
                <w:sz w:val="18"/>
                <w:lang w:val="en-GB" w:eastAsia="en-GB"/>
              </w:rPr>
              <w:t>mgrp</w:t>
            </w:r>
            <w:r w:rsidRPr="0050286B">
              <w:rPr>
                <w:rFonts w:ascii="Arial" w:eastAsia="Times New Roman" w:hAnsi="Arial"/>
                <w:sz w:val="18"/>
                <w:lang w:val="en-GB" w:eastAsia="en-GB"/>
              </w:rPr>
              <w:t>-1</w:t>
            </w:r>
            <w:r w:rsidRPr="0050286B">
              <w:rPr>
                <w:rFonts w:ascii="Arial" w:eastAsia="Times New Roman" w:hAnsi="Arial"/>
                <w:sz w:val="18"/>
                <w:lang w:val="en-GB" w:eastAsia="sv-SE"/>
              </w:rPr>
              <w:t>.</w:t>
            </w:r>
          </w:p>
        </w:tc>
      </w:tr>
      <w:tr w:rsidR="00EA1352" w:rsidRPr="0050286B" w14:paraId="1284FADD"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41351ADC"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mgl</w:t>
            </w:r>
          </w:p>
          <w:p w14:paraId="2D543514"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en-GB"/>
              </w:rPr>
              <w:t xml:space="preserve">Value </w:t>
            </w:r>
            <w:r w:rsidRPr="0050286B">
              <w:rPr>
                <w:rFonts w:ascii="Arial" w:eastAsia="Times New Roman" w:hAnsi="Arial"/>
                <w:i/>
                <w:sz w:val="18"/>
                <w:lang w:val="en-GB" w:eastAsia="en-GB"/>
              </w:rPr>
              <w:t>mgl</w:t>
            </w:r>
            <w:r w:rsidRPr="0050286B">
              <w:rPr>
                <w:rFonts w:ascii="Arial" w:eastAsia="Times New Roman" w:hAnsi="Arial"/>
                <w:sz w:val="18"/>
                <w:lang w:val="en-GB" w:eastAsia="en-GB"/>
              </w:rPr>
              <w:t xml:space="preserve"> is the measurement gap length in ms of the measurement gap. The measurement gap length is according to in Table 9.1.2-1 in TS 38.133 [14]. Value </w:t>
            </w:r>
            <w:r w:rsidRPr="0050286B">
              <w:rPr>
                <w:rFonts w:ascii="Arial" w:eastAsia="Times New Roman" w:hAnsi="Arial"/>
                <w:i/>
                <w:sz w:val="18"/>
                <w:lang w:val="en-GB" w:eastAsia="en-GB"/>
              </w:rPr>
              <w:t>ms1dot5</w:t>
            </w:r>
            <w:r w:rsidRPr="0050286B">
              <w:rPr>
                <w:rFonts w:ascii="Arial" w:eastAsia="Times New Roman" w:hAnsi="Arial"/>
                <w:sz w:val="18"/>
                <w:lang w:val="en-GB" w:eastAsia="en-GB"/>
              </w:rPr>
              <w:t xml:space="preserve"> corresponds to 1.5 ms, </w:t>
            </w:r>
            <w:r w:rsidRPr="0050286B">
              <w:rPr>
                <w:rFonts w:ascii="Arial" w:eastAsia="Times New Roman" w:hAnsi="Arial"/>
                <w:i/>
                <w:sz w:val="18"/>
                <w:lang w:val="en-GB" w:eastAsia="en-GB"/>
              </w:rPr>
              <w:t>ms3</w:t>
            </w:r>
            <w:r w:rsidRPr="0050286B">
              <w:rPr>
                <w:rFonts w:ascii="Arial" w:eastAsia="Times New Roman" w:hAnsi="Arial"/>
                <w:sz w:val="18"/>
                <w:lang w:val="en-GB" w:eastAsia="en-GB"/>
              </w:rPr>
              <w:t xml:space="preserve"> corresponds to 3 ms and so on.</w:t>
            </w:r>
            <w:r w:rsidRPr="0050286B">
              <w:rPr>
                <w:rFonts w:ascii="Arial" w:eastAsia="Times New Roman" w:hAnsi="Arial" w:cs="Arial"/>
                <w:sz w:val="18"/>
                <w:lang w:val="en-GB" w:eastAsia="en-GB"/>
              </w:rPr>
              <w:t xml:space="preserve"> If </w:t>
            </w:r>
            <w:r w:rsidRPr="0050286B">
              <w:rPr>
                <w:rFonts w:ascii="Arial" w:eastAsia="Times New Roman" w:hAnsi="Arial" w:cs="Arial"/>
                <w:i/>
                <w:sz w:val="18"/>
                <w:lang w:val="en-GB" w:eastAsia="en-GB"/>
              </w:rPr>
              <w:t>mgl-r16</w:t>
            </w:r>
            <w:r w:rsidRPr="0050286B">
              <w:rPr>
                <w:rFonts w:ascii="Arial" w:eastAsia="Times New Roman" w:hAnsi="Arial" w:cs="Arial"/>
                <w:sz w:val="18"/>
                <w:lang w:val="en-GB" w:eastAsia="en-GB"/>
              </w:rPr>
              <w:t xml:space="preserve"> is present, UE shall ignore the </w:t>
            </w:r>
            <w:r w:rsidRPr="0050286B">
              <w:rPr>
                <w:rFonts w:ascii="Arial" w:eastAsia="Times New Roman" w:hAnsi="Arial" w:cs="Arial"/>
                <w:i/>
                <w:sz w:val="18"/>
                <w:lang w:val="en-GB" w:eastAsia="en-GB"/>
              </w:rPr>
              <w:t xml:space="preserve">mgl </w:t>
            </w:r>
            <w:r w:rsidRPr="0050286B">
              <w:rPr>
                <w:rFonts w:ascii="Arial" w:eastAsia="Times New Roman" w:hAnsi="Arial" w:cs="Arial"/>
                <w:sz w:val="18"/>
                <w:lang w:val="en-GB" w:eastAsia="en-GB"/>
              </w:rPr>
              <w:t>(without suffix).</w:t>
            </w:r>
          </w:p>
        </w:tc>
      </w:tr>
      <w:tr w:rsidR="00EA1352" w:rsidRPr="0050286B" w14:paraId="181E3194"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1298A56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mgrp</w:t>
            </w:r>
          </w:p>
          <w:p w14:paraId="050E7EAC"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sz w:val="18"/>
                <w:lang w:val="en-GB" w:eastAsia="sv-SE"/>
              </w:rPr>
              <w:t xml:space="preserve">Value </w:t>
            </w:r>
            <w:r w:rsidRPr="0050286B">
              <w:rPr>
                <w:rFonts w:ascii="Arial" w:eastAsia="Times New Roman" w:hAnsi="Arial"/>
                <w:i/>
                <w:sz w:val="18"/>
                <w:lang w:val="en-GB" w:eastAsia="sv-SE"/>
              </w:rPr>
              <w:t>mgrp</w:t>
            </w:r>
            <w:r w:rsidRPr="0050286B">
              <w:rPr>
                <w:rFonts w:ascii="Arial" w:eastAsia="Times New Roman" w:hAnsi="Arial"/>
                <w:sz w:val="18"/>
                <w:lang w:val="en-GB" w:eastAsia="sv-SE"/>
              </w:rPr>
              <w:t xml:space="preserve"> is measurement gap repetition period in (ms) of the measurement gap. </w:t>
            </w:r>
            <w:r w:rsidRPr="0050286B">
              <w:rPr>
                <w:rFonts w:ascii="Arial" w:eastAsia="Times New Roman" w:hAnsi="Arial"/>
                <w:sz w:val="18"/>
                <w:lang w:val="en-GB" w:eastAsia="en-GB"/>
              </w:rPr>
              <w:t>The measurement gap repetition period is according to Table 9.1.2-1 in TS 38.133 [14].</w:t>
            </w:r>
          </w:p>
        </w:tc>
      </w:tr>
      <w:tr w:rsidR="00EA1352" w:rsidRPr="0050286B" w14:paraId="37428479"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5960AADE"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mgta</w:t>
            </w:r>
          </w:p>
          <w:p w14:paraId="6C87F80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50286B">
              <w:rPr>
                <w:rFonts w:ascii="Arial" w:eastAsia="Times New Roman" w:hAnsi="Arial"/>
                <w:bCs/>
                <w:sz w:val="18"/>
                <w:lang w:val="en-GB" w:eastAsia="en-GB"/>
              </w:rPr>
              <w:t xml:space="preserve">Value </w:t>
            </w:r>
            <w:r w:rsidRPr="0050286B">
              <w:rPr>
                <w:rFonts w:ascii="Arial" w:eastAsia="Times New Roman" w:hAnsi="Arial"/>
                <w:bCs/>
                <w:i/>
                <w:sz w:val="18"/>
                <w:lang w:val="en-GB" w:eastAsia="en-GB"/>
              </w:rPr>
              <w:t>mgta</w:t>
            </w:r>
            <w:r w:rsidRPr="0050286B">
              <w:rPr>
                <w:rFonts w:ascii="Arial" w:eastAsia="Times New Roman" w:hAnsi="Arial"/>
                <w:bCs/>
                <w:sz w:val="18"/>
                <w:lang w:val="en-GB" w:eastAsia="en-GB"/>
              </w:rPr>
              <w:t xml:space="preserve"> is the measurement gap timing advance in ms. The applicability of the measurement gap timing advance is according to clause </w:t>
            </w:r>
            <w:r w:rsidRPr="0050286B">
              <w:rPr>
                <w:rFonts w:ascii="Arial" w:eastAsia="Times New Roman" w:hAnsi="Arial"/>
                <w:bCs/>
                <w:sz w:val="18"/>
                <w:lang w:val="en-GB" w:eastAsia="sv-SE"/>
              </w:rPr>
              <w:t>9.1.2</w:t>
            </w:r>
            <w:r w:rsidRPr="0050286B">
              <w:rPr>
                <w:rFonts w:ascii="Arial" w:eastAsia="Times New Roman" w:hAnsi="Arial"/>
                <w:bCs/>
                <w:sz w:val="18"/>
                <w:lang w:val="en-GB" w:eastAsia="en-GB"/>
              </w:rPr>
              <w:t xml:space="preserve"> of TS 38.133 [14]. Value </w:t>
            </w:r>
            <w:r w:rsidRPr="0050286B">
              <w:rPr>
                <w:rFonts w:ascii="Arial" w:eastAsia="Times New Roman" w:hAnsi="Arial"/>
                <w:bCs/>
                <w:i/>
                <w:sz w:val="18"/>
                <w:lang w:val="en-GB" w:eastAsia="en-GB"/>
              </w:rPr>
              <w:t>ms0</w:t>
            </w:r>
            <w:r w:rsidRPr="0050286B">
              <w:rPr>
                <w:rFonts w:ascii="Arial" w:eastAsia="Times New Roman" w:hAnsi="Arial"/>
                <w:bCs/>
                <w:sz w:val="18"/>
                <w:lang w:val="en-GB" w:eastAsia="en-GB"/>
              </w:rPr>
              <w:t xml:space="preserve"> corresponds to 0 ms, </w:t>
            </w:r>
            <w:r w:rsidRPr="0050286B">
              <w:rPr>
                <w:rFonts w:ascii="Arial" w:eastAsia="Times New Roman" w:hAnsi="Arial"/>
                <w:bCs/>
                <w:i/>
                <w:sz w:val="18"/>
                <w:lang w:val="en-GB" w:eastAsia="en-GB"/>
              </w:rPr>
              <w:t>ms0dot25</w:t>
            </w:r>
            <w:r w:rsidRPr="0050286B">
              <w:rPr>
                <w:rFonts w:ascii="Arial" w:eastAsia="Times New Roman" w:hAnsi="Arial"/>
                <w:bCs/>
                <w:sz w:val="18"/>
                <w:lang w:val="en-GB" w:eastAsia="en-GB"/>
              </w:rPr>
              <w:t xml:space="preserve"> corresponds to 0.25 ms and </w:t>
            </w:r>
            <w:r w:rsidRPr="0050286B">
              <w:rPr>
                <w:rFonts w:ascii="Arial" w:eastAsia="Times New Roman" w:hAnsi="Arial"/>
                <w:bCs/>
                <w:i/>
                <w:sz w:val="18"/>
                <w:lang w:val="en-GB" w:eastAsia="en-GB"/>
              </w:rPr>
              <w:t>ms0dot5</w:t>
            </w:r>
            <w:r w:rsidRPr="0050286B">
              <w:rPr>
                <w:rFonts w:ascii="Arial" w:eastAsia="Times New Roman" w:hAnsi="Arial"/>
                <w:bCs/>
                <w:sz w:val="18"/>
                <w:lang w:val="en-GB" w:eastAsia="en-GB"/>
              </w:rPr>
              <w:t xml:space="preserve"> corresponds to 0.5 ms. For FR2, the network only configures 0 ms and 0.25 ms. </w:t>
            </w:r>
          </w:p>
        </w:tc>
      </w:tr>
      <w:tr w:rsidR="00EA1352" w:rsidRPr="0050286B" w14:paraId="0DFD099E"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0DE0F9B1"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iCs/>
                <w:sz w:val="18"/>
                <w:lang w:val="en-GB" w:eastAsia="x-none"/>
              </w:rPr>
            </w:pPr>
            <w:r w:rsidRPr="0050286B">
              <w:rPr>
                <w:rFonts w:ascii="Arial" w:eastAsia="Times New Roman" w:hAnsi="Arial"/>
                <w:b/>
                <w:bCs/>
                <w:i/>
                <w:iCs/>
                <w:sz w:val="18"/>
                <w:lang w:val="en-GB" w:eastAsia="x-none"/>
              </w:rPr>
              <w:t>refFR2ServCellIAsyncCA</w:t>
            </w:r>
          </w:p>
          <w:p w14:paraId="0AD7A5B7"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sz w:val="18"/>
                <w:lang w:val="en-GB" w:eastAsia="sv-SE"/>
              </w:rPr>
            </w:pPr>
            <w:r w:rsidRPr="0050286B">
              <w:rPr>
                <w:rFonts w:ascii="Arial" w:eastAsia="Times New Roman" w:hAnsi="Arial"/>
                <w:sz w:val="18"/>
                <w:lang w:val="en-GB" w:eastAsia="sv-SE"/>
              </w:rPr>
              <w:t>Indicates the FR2 serving cell identifier whose SFN and subframe is used for FR2 gap calculation for this gap pattern with asynchronous CA involving FR2 carrier(s).</w:t>
            </w:r>
          </w:p>
        </w:tc>
      </w:tr>
      <w:tr w:rsidR="00EA1352" w:rsidRPr="0050286B" w14:paraId="04164485" w14:textId="77777777" w:rsidTr="00EA1352">
        <w:trPr>
          <w:cantSplit/>
        </w:trPr>
        <w:tc>
          <w:tcPr>
            <w:tcW w:w="9535" w:type="dxa"/>
            <w:tcBorders>
              <w:top w:val="single" w:sz="4" w:space="0" w:color="808080"/>
              <w:left w:val="single" w:sz="4" w:space="0" w:color="808080"/>
              <w:bottom w:val="single" w:sz="4" w:space="0" w:color="808080"/>
              <w:right w:val="single" w:sz="4" w:space="0" w:color="808080"/>
            </w:tcBorders>
            <w:hideMark/>
          </w:tcPr>
          <w:p w14:paraId="3F66A55A"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50286B">
              <w:rPr>
                <w:rFonts w:ascii="Arial" w:eastAsia="Times New Roman" w:hAnsi="Arial"/>
                <w:b/>
                <w:bCs/>
                <w:i/>
                <w:sz w:val="18"/>
                <w:lang w:val="en-GB" w:eastAsia="en-GB"/>
              </w:rPr>
              <w:t>refServCellIndicator</w:t>
            </w:r>
          </w:p>
          <w:p w14:paraId="5FE234F3" w14:textId="77777777"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Cs/>
                <w:sz w:val="18"/>
                <w:lang w:val="en-GB" w:eastAsia="en-GB"/>
              </w:rPr>
            </w:pPr>
            <w:r w:rsidRPr="0050286B">
              <w:rPr>
                <w:rFonts w:ascii="Arial" w:eastAsia="Times New Roman" w:hAnsi="Arial"/>
                <w:bCs/>
                <w:sz w:val="18"/>
                <w:lang w:val="en-GB" w:eastAsia="en-GB"/>
              </w:rPr>
              <w:t>Indicates the serving cell whose SFN and subframe are used for gap calculation for this gap pattern. Value pCell corresponds to the PCell, pSCell corresponds to the PSCell, and mcg-FR2 corresponds to a serving cell on FR2 frequency in MCG.</w:t>
            </w:r>
          </w:p>
        </w:tc>
      </w:tr>
      <w:tr w:rsidR="00EA1352" w:rsidRPr="0050286B" w14:paraId="14A8310A" w14:textId="77777777" w:rsidTr="00A477A1">
        <w:trPr>
          <w:cantSplit/>
        </w:trPr>
        <w:tc>
          <w:tcPr>
            <w:tcW w:w="9535" w:type="dxa"/>
            <w:tcBorders>
              <w:top w:val="single" w:sz="4" w:space="0" w:color="808080"/>
              <w:left w:val="single" w:sz="4" w:space="0" w:color="808080"/>
              <w:bottom w:val="single" w:sz="4" w:space="0" w:color="808080"/>
              <w:right w:val="single" w:sz="4" w:space="0" w:color="808080"/>
            </w:tcBorders>
          </w:tcPr>
          <w:p w14:paraId="654F478E" w14:textId="77777777" w:rsidR="00EA1352" w:rsidRPr="00EA1352"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highlight w:val="yellow"/>
                <w:lang w:val="en-GB" w:eastAsia="en-GB"/>
              </w:rPr>
            </w:pPr>
            <w:r w:rsidRPr="00EA1352">
              <w:rPr>
                <w:rFonts w:ascii="Arial" w:eastAsia="Times New Roman" w:hAnsi="Arial"/>
                <w:b/>
                <w:bCs/>
                <w:i/>
                <w:sz w:val="18"/>
                <w:highlight w:val="yellow"/>
                <w:lang w:val="en-GB" w:eastAsia="en-GB"/>
              </w:rPr>
              <w:t>gapOffsetNTN</w:t>
            </w:r>
          </w:p>
          <w:p w14:paraId="2D78F6FE" w14:textId="4B10E0AF" w:rsidR="00EA1352" w:rsidRPr="0050286B" w:rsidRDefault="00EA1352" w:rsidP="00A477A1">
            <w:pPr>
              <w:keepNext/>
              <w:keepLines/>
              <w:overflowPunct w:val="0"/>
              <w:autoSpaceDE w:val="0"/>
              <w:autoSpaceDN w:val="0"/>
              <w:adjustRightInd w:val="0"/>
              <w:spacing w:after="0" w:line="240" w:lineRule="auto"/>
              <w:textAlignment w:val="baseline"/>
              <w:rPr>
                <w:rFonts w:ascii="Arial" w:eastAsia="Times New Roman" w:hAnsi="Arial"/>
                <w:b/>
                <w:bCs/>
                <w:i/>
                <w:sz w:val="18"/>
                <w:lang w:val="en-GB" w:eastAsia="en-GB"/>
              </w:rPr>
            </w:pPr>
            <w:r w:rsidRPr="00EA1352">
              <w:rPr>
                <w:rFonts w:ascii="Arial" w:eastAsia="Times New Roman" w:hAnsi="Arial"/>
                <w:sz w:val="18"/>
                <w:highlight w:val="yellow"/>
                <w:lang w:val="en-GB" w:eastAsia="en-GB"/>
              </w:rPr>
              <w:t xml:space="preserve">Value </w:t>
            </w:r>
            <w:r w:rsidRPr="00EA1352">
              <w:rPr>
                <w:rFonts w:ascii="Arial" w:eastAsia="Times New Roman" w:hAnsi="Arial"/>
                <w:i/>
                <w:sz w:val="18"/>
                <w:highlight w:val="yellow"/>
                <w:lang w:val="en-GB" w:eastAsia="en-GB"/>
              </w:rPr>
              <w:t>gapOffsetNTN</w:t>
            </w:r>
            <w:r w:rsidRPr="00EA1352">
              <w:rPr>
                <w:rFonts w:ascii="Arial" w:eastAsia="Times New Roman" w:hAnsi="Arial"/>
                <w:sz w:val="18"/>
                <w:highlight w:val="yellow"/>
                <w:lang w:val="en-GB" w:eastAsia="en-GB"/>
              </w:rPr>
              <w:t xml:space="preserve"> is the gap timing offset of the gap pattern for NTN scenarios based on the timing on the reference cell. Values are specified in ms</w:t>
            </w:r>
            <w:r w:rsidRPr="00B11630">
              <w:rPr>
                <w:rFonts w:ascii="Arial" w:eastAsia="Times New Roman" w:hAnsi="Arial"/>
                <w:sz w:val="18"/>
                <w:lang w:val="en-GB" w:eastAsia="en-GB"/>
              </w:rPr>
              <w:t xml:space="preserve">. </w:t>
            </w:r>
            <w:r w:rsidRPr="00EA1352">
              <w:rPr>
                <w:rFonts w:ascii="Arial" w:eastAsia="Times New Roman" w:hAnsi="Arial"/>
                <w:sz w:val="18"/>
                <w:highlight w:val="yellow"/>
                <w:lang w:val="en-GB" w:eastAsia="en-GB"/>
              </w:rPr>
              <w:t xml:space="preserve">[Alternatively, values may be specified </w:t>
            </w:r>
            <w:r>
              <w:rPr>
                <w:rFonts w:ascii="Arial" w:eastAsia="Times New Roman" w:hAnsi="Arial"/>
                <w:sz w:val="18"/>
                <w:highlight w:val="yellow"/>
                <w:lang w:val="en-GB" w:eastAsia="en-GB"/>
              </w:rPr>
              <w:t xml:space="preserve">as </w:t>
            </w:r>
            <w:r>
              <w:rPr>
                <w:rFonts w:ascii="Arial" w:eastAsia="Times New Roman" w:hAnsi="Arial" w:cs="Arial"/>
                <w:sz w:val="18"/>
                <w:highlight w:val="yellow"/>
                <w:lang w:val="en-GB" w:eastAsia="en-GB"/>
              </w:rPr>
              <w:t>µ</w:t>
            </w:r>
            <w:r>
              <w:rPr>
                <w:rFonts w:ascii="Arial" w:eastAsia="Times New Roman" w:hAnsi="Arial"/>
                <w:sz w:val="18"/>
                <w:highlight w:val="yellow"/>
                <w:lang w:val="en-GB" w:eastAsia="en-GB"/>
              </w:rPr>
              <w:t xml:space="preserve">s, </w:t>
            </w:r>
            <w:r w:rsidRPr="00EA1352">
              <w:rPr>
                <w:rFonts w:ascii="Arial" w:eastAsia="Times New Roman" w:hAnsi="Arial"/>
                <w:sz w:val="18"/>
                <w:highlight w:val="yellow"/>
                <w:lang w:val="en-GB" w:eastAsia="en-GB"/>
              </w:rPr>
              <w:t>n</w:t>
            </w:r>
            <w:r>
              <w:rPr>
                <w:rFonts w:ascii="Arial" w:eastAsia="Times New Roman" w:hAnsi="Arial"/>
                <w:sz w:val="18"/>
                <w:highlight w:val="yellow"/>
                <w:lang w:val="en-GB" w:eastAsia="en-GB"/>
              </w:rPr>
              <w:t>umber</w:t>
            </w:r>
            <w:r w:rsidRPr="00EA1352">
              <w:rPr>
                <w:rFonts w:ascii="Arial" w:eastAsia="Times New Roman" w:hAnsi="Arial"/>
                <w:sz w:val="18"/>
                <w:highlight w:val="yellow"/>
                <w:lang w:val="en-GB" w:eastAsia="en-GB"/>
              </w:rPr>
              <w:t xml:space="preserve"> of symbols, slot</w:t>
            </w:r>
            <w:r>
              <w:rPr>
                <w:rFonts w:ascii="Arial" w:eastAsia="Times New Roman" w:hAnsi="Arial"/>
                <w:sz w:val="18"/>
                <w:highlight w:val="yellow"/>
                <w:lang w:val="en-GB" w:eastAsia="en-GB"/>
              </w:rPr>
              <w:t>s</w:t>
            </w:r>
            <w:r w:rsidRPr="00EA1352">
              <w:rPr>
                <w:rFonts w:ascii="Arial" w:eastAsia="Times New Roman" w:hAnsi="Arial"/>
                <w:sz w:val="18"/>
                <w:highlight w:val="yellow"/>
                <w:lang w:val="en-GB" w:eastAsia="en-GB"/>
              </w:rPr>
              <w:t>]</w:t>
            </w:r>
          </w:p>
        </w:tc>
      </w:tr>
    </w:tbl>
    <w:p w14:paraId="136DFA0B" w14:textId="77777777" w:rsidR="00EA1352" w:rsidRDefault="00EA1352" w:rsidP="00EA1352">
      <w:pPr>
        <w:pStyle w:val="iBodyText"/>
      </w:pPr>
    </w:p>
    <w:p w14:paraId="7ED1837E" w14:textId="07DFF174" w:rsidR="00D76439" w:rsidRDefault="00D76439" w:rsidP="00D76439">
      <w:r>
        <w:t>Option 2:</w:t>
      </w:r>
    </w:p>
    <w:p w14:paraId="46AE747B" w14:textId="3B0FC96C" w:rsidR="00D76439" w:rsidRDefault="00D76439" w:rsidP="00D76439">
      <w:r>
        <w:t xml:space="preserve">Given the high speed of satellites (i.e., LEO, MEO) and shorter sub-frame length (compared to TN), the uplink and downlink timing at the UE may need to be updated very frequently. For this option, the UE can calculate the timing offset to be applied in its measurement gap of neighboring NTN cell(s). For example, based on the received information from the network (such as, Satellite ephemeris data for earth-fixed or moving NTN cells and UE location), timing relationship between serving and neighbor NTN cells, etc.), and UE measurements such as (DL timing measurements from different </w:t>
      </w:r>
      <w:r>
        <w:lastRenderedPageBreak/>
        <w:t xml:space="preserve">NTN cells, etc.), the UE calculates a timing offset to compensate the propagation delay difference between the serving NTN cell and neighboring NTN cell(s).  </w:t>
      </w:r>
    </w:p>
    <w:p w14:paraId="2DB76854" w14:textId="3A9D4107" w:rsidR="00D76439" w:rsidRDefault="00D76439" w:rsidP="00D76439">
      <w:r>
        <w:t>Option 3:</w:t>
      </w:r>
    </w:p>
    <w:p w14:paraId="702A2997" w14:textId="033B597A" w:rsidR="00D76439" w:rsidRDefault="00D76439" w:rsidP="00D76439">
      <w:r>
        <w:t xml:space="preserve">This option is a hybrid solution of options 1 and 2 above. </w:t>
      </w:r>
    </w:p>
    <w:p w14:paraId="1C8A8636" w14:textId="120C10EF" w:rsidR="00D76439" w:rsidRDefault="00D76439" w:rsidP="00D76439">
      <w:r>
        <w:t xml:space="preserve">1. The UE will receive the MG Configuration as described in Option 1, and apply the received </w:t>
      </w:r>
      <w:r w:rsidRPr="00D76439">
        <w:rPr>
          <w:i/>
          <w:iCs/>
        </w:rPr>
        <w:t>gapOffsetNTN</w:t>
      </w:r>
      <w:r>
        <w:t xml:space="preserve"> in its measurement gap in neighbor NTN cell(s).  </w:t>
      </w:r>
    </w:p>
    <w:p w14:paraId="094B7EF1" w14:textId="3B8CAE41" w:rsidR="00D76439" w:rsidRDefault="00D76439" w:rsidP="00D76439">
      <w:r>
        <w:t xml:space="preserve">2. As time goes (and propagation delay difference between serving and neighbor NTN cell changes), the UE will calculate a delta timing offset to the received </w:t>
      </w:r>
      <w:r w:rsidRPr="00D76439">
        <w:rPr>
          <w:i/>
          <w:iCs/>
        </w:rPr>
        <w:t>gapOffsetNTN</w:t>
      </w:r>
      <w:r>
        <w:t xml:space="preserve"> based on its calculation or measurement. It will continue to apply the delta timing offset + </w:t>
      </w:r>
      <w:r w:rsidRPr="00D76439">
        <w:rPr>
          <w:i/>
          <w:iCs/>
        </w:rPr>
        <w:t>gapOffsetNTN</w:t>
      </w:r>
      <w:r>
        <w:t xml:space="preserve"> in its measurement gap in neighbor NTN cell(s). The UE may also apply a delta timing offset rate over time, in other words, a change in gap offset over time as satellite orbit(s) propagation delay changes may be consistently changing over time (either held constant in the same constellation or vary in the case of a different constellation). The calculation can be the same as in Option 2. </w:t>
      </w:r>
    </w:p>
    <w:p w14:paraId="244928BD" w14:textId="0C912CB6" w:rsidR="00EA1352" w:rsidRDefault="00D76439" w:rsidP="00D76439">
      <w:r>
        <w:t xml:space="preserve">3. Later on, when the UE receives an updated MG Configuration as described in Option 1, it will apply the updated </w:t>
      </w:r>
      <w:r w:rsidRPr="00D76439">
        <w:rPr>
          <w:i/>
          <w:iCs/>
        </w:rPr>
        <w:t>gapOffsetNTN</w:t>
      </w:r>
      <w:r>
        <w:t xml:space="preserve"> in its measurement gap in neighbor NTN cell(s).  And continue to step 2.</w:t>
      </w:r>
    </w:p>
    <w:p w14:paraId="69D26F7E" w14:textId="77777777" w:rsidR="00EA1352" w:rsidRDefault="00EA1352" w:rsidP="00B44A2F"/>
    <w:p w14:paraId="782ADEC6" w14:textId="202A7FA6" w:rsidR="006C704E" w:rsidRDefault="006C704E" w:rsidP="002D77C5">
      <w:pPr>
        <w:rPr>
          <w:i/>
          <w:iCs/>
        </w:rPr>
      </w:pPr>
      <w:r w:rsidRPr="002D77C5">
        <w:rPr>
          <w:b/>
          <w:i/>
          <w:iCs/>
          <w:lang w:val="en-GB" w:eastAsia="ja-JP"/>
        </w:rPr>
        <w:t xml:space="preserve">Observation </w:t>
      </w:r>
      <w:r w:rsidR="00D76439">
        <w:rPr>
          <w:b/>
          <w:i/>
          <w:iCs/>
          <w:lang w:val="en-GB" w:eastAsia="ja-JP"/>
        </w:rPr>
        <w:t>5</w:t>
      </w:r>
      <w:r w:rsidRPr="002D77C5">
        <w:rPr>
          <w:b/>
          <w:i/>
          <w:iCs/>
          <w:lang w:val="en-GB" w:eastAsia="ja-JP"/>
        </w:rPr>
        <w:t xml:space="preserve">: </w:t>
      </w:r>
      <w:r w:rsidR="00B669F1">
        <w:rPr>
          <w:i/>
          <w:iCs/>
        </w:rPr>
        <w:t>Several options are presented to address</w:t>
      </w:r>
      <w:r w:rsidR="0046474C">
        <w:rPr>
          <w:i/>
          <w:iCs/>
        </w:rPr>
        <w:t xml:space="preserve"> issues for SMTC/MG configurations associated with </w:t>
      </w:r>
      <w:r w:rsidR="0046474C" w:rsidRPr="0046474C">
        <w:rPr>
          <w:i/>
          <w:iCs/>
        </w:rPr>
        <w:t>propagation delay differences between two NTN cells (one serving, one or more neighbor cells)</w:t>
      </w:r>
      <w:r w:rsidRPr="002D77C5">
        <w:rPr>
          <w:i/>
          <w:iCs/>
        </w:rPr>
        <w:t>.</w:t>
      </w:r>
    </w:p>
    <w:p w14:paraId="6799F7CF" w14:textId="408CB672" w:rsidR="0046474C" w:rsidRPr="002D77C5" w:rsidRDefault="0046474C" w:rsidP="0046474C">
      <w:pPr>
        <w:rPr>
          <w:i/>
          <w:iCs/>
          <w:lang w:val="en-GB" w:eastAsia="ja-JP"/>
        </w:rPr>
      </w:pPr>
      <w:r w:rsidRPr="002D77C5">
        <w:rPr>
          <w:b/>
          <w:bCs/>
          <w:i/>
          <w:iCs/>
          <w:lang w:val="en-GB" w:eastAsia="ja-JP"/>
        </w:rPr>
        <w:t xml:space="preserve">Proposal </w:t>
      </w:r>
      <w:r w:rsidR="00D10F1C">
        <w:rPr>
          <w:b/>
          <w:bCs/>
          <w:i/>
          <w:iCs/>
          <w:lang w:val="en-GB" w:eastAsia="ja-JP"/>
        </w:rPr>
        <w:t>1</w:t>
      </w:r>
      <w:r w:rsidRPr="002D77C5">
        <w:rPr>
          <w:b/>
          <w:bCs/>
          <w:i/>
          <w:iCs/>
          <w:lang w:val="en-GB" w:eastAsia="ja-JP"/>
        </w:rPr>
        <w:t>:</w:t>
      </w:r>
      <w:r w:rsidRPr="002D77C5">
        <w:rPr>
          <w:i/>
          <w:iCs/>
          <w:lang w:val="en-GB" w:eastAsia="ja-JP"/>
        </w:rPr>
        <w:t xml:space="preserve"> RAN2 agrees to </w:t>
      </w:r>
      <w:r w:rsidR="006A3C9D">
        <w:rPr>
          <w:i/>
          <w:iCs/>
          <w:lang w:val="en-GB" w:eastAsia="ja-JP"/>
        </w:rPr>
        <w:t>incorporate</w:t>
      </w:r>
      <w:r>
        <w:rPr>
          <w:i/>
          <w:iCs/>
          <w:lang w:val="en-GB" w:eastAsia="ja-JP"/>
        </w:rPr>
        <w:t xml:space="preserve"> one of the proposed options for NTN-specific </w:t>
      </w:r>
      <w:r w:rsidR="00D10F1C">
        <w:rPr>
          <w:i/>
          <w:iCs/>
          <w:lang w:val="en-GB" w:eastAsia="ja-JP"/>
        </w:rPr>
        <w:t xml:space="preserve">SMTC </w:t>
      </w:r>
      <w:r>
        <w:rPr>
          <w:i/>
          <w:iCs/>
          <w:lang w:val="en-GB" w:eastAsia="ja-JP"/>
        </w:rPr>
        <w:t>Measurement Gap configurations</w:t>
      </w:r>
      <w:r w:rsidR="006A3C9D">
        <w:rPr>
          <w:i/>
          <w:iCs/>
          <w:lang w:val="en-GB" w:eastAsia="ja-JP"/>
        </w:rPr>
        <w:t xml:space="preserve"> into the running CR</w:t>
      </w:r>
      <w:r w:rsidRPr="002D77C5">
        <w:rPr>
          <w:i/>
          <w:iCs/>
          <w:lang w:val="en-GB" w:eastAsia="ja-JP"/>
        </w:rPr>
        <w:t>.</w:t>
      </w:r>
    </w:p>
    <w:p w14:paraId="58E04033" w14:textId="77777777" w:rsidR="002D77C5" w:rsidRPr="002D77C5" w:rsidRDefault="002D77C5" w:rsidP="002D77C5">
      <w:pPr>
        <w:rPr>
          <w:i/>
          <w:iCs/>
        </w:rPr>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roofErr w:type="gramEnd"/>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5CED0582" w14:textId="77777777" w:rsidR="00922802" w:rsidRDefault="00922802" w:rsidP="00922802">
      <w:pPr>
        <w:rPr>
          <w:bCs/>
          <w:i/>
          <w:iCs/>
          <w:lang w:val="en-GB" w:eastAsia="ja-JP"/>
        </w:rPr>
      </w:pPr>
      <w:r w:rsidRPr="005D7166">
        <w:rPr>
          <w:b/>
          <w:i/>
          <w:iCs/>
          <w:lang w:val="en-GB" w:eastAsia="ja-JP"/>
        </w:rPr>
        <w:t xml:space="preserve">Observation 1: </w:t>
      </w:r>
      <w:r>
        <w:rPr>
          <w:i/>
          <w:iCs/>
          <w:lang w:val="en-GB"/>
        </w:rPr>
        <w:t>The existing Rel-16 MG configurations are specifically tailored for Terrestrial Network scenarios</w:t>
      </w:r>
      <w:r w:rsidRPr="005D7166">
        <w:rPr>
          <w:bCs/>
          <w:i/>
          <w:iCs/>
          <w:lang w:val="en-GB" w:eastAsia="ja-JP"/>
        </w:rPr>
        <w:t>.</w:t>
      </w:r>
    </w:p>
    <w:p w14:paraId="0BF93E45" w14:textId="77777777" w:rsidR="00922802" w:rsidRDefault="00922802" w:rsidP="00922802">
      <w:pPr>
        <w:rPr>
          <w:bCs/>
          <w:i/>
          <w:iCs/>
          <w:lang w:val="en-GB" w:eastAsia="ja-JP"/>
        </w:rPr>
      </w:pPr>
      <w:r w:rsidRPr="005D7166">
        <w:rPr>
          <w:b/>
          <w:i/>
          <w:iCs/>
          <w:lang w:val="en-GB" w:eastAsia="ja-JP"/>
        </w:rPr>
        <w:t xml:space="preserve">Observation </w:t>
      </w:r>
      <w:r>
        <w:rPr>
          <w:b/>
          <w:i/>
          <w:iCs/>
          <w:lang w:val="en-GB" w:eastAsia="ja-JP"/>
        </w:rPr>
        <w:t>2</w:t>
      </w:r>
      <w:r w:rsidRPr="005D7166">
        <w:rPr>
          <w:b/>
          <w:i/>
          <w:iCs/>
          <w:lang w:val="en-GB" w:eastAsia="ja-JP"/>
        </w:rPr>
        <w:t xml:space="preserve">: </w:t>
      </w:r>
      <w:r>
        <w:rPr>
          <w:i/>
          <w:iCs/>
          <w:lang w:val="en-GB"/>
        </w:rPr>
        <w:t xml:space="preserve">As is the case for TN, NTN UE </w:t>
      </w:r>
      <w:r w:rsidRPr="00074730">
        <w:rPr>
          <w:i/>
          <w:iCs/>
          <w:lang w:val="en-GB"/>
        </w:rPr>
        <w:t>shall not be forced to detect the SSB burst outside the corresponding configured SMTC window</w:t>
      </w:r>
      <w:r>
        <w:rPr>
          <w:i/>
          <w:iCs/>
          <w:lang w:val="en-GB"/>
        </w:rPr>
        <w:t>, which is configured based on the timing of the PCell</w:t>
      </w:r>
      <w:r w:rsidRPr="005D7166">
        <w:rPr>
          <w:bCs/>
          <w:i/>
          <w:iCs/>
          <w:lang w:val="en-GB" w:eastAsia="ja-JP"/>
        </w:rPr>
        <w:t>.</w:t>
      </w:r>
    </w:p>
    <w:p w14:paraId="0D14736E" w14:textId="77777777" w:rsidR="00922802" w:rsidRPr="005D7166" w:rsidRDefault="00922802" w:rsidP="00922802">
      <w:pPr>
        <w:rPr>
          <w:bCs/>
          <w:i/>
          <w:iCs/>
          <w:lang w:val="en-GB" w:eastAsia="ja-JP"/>
        </w:rPr>
      </w:pPr>
      <w:r w:rsidRPr="005D7166">
        <w:rPr>
          <w:b/>
          <w:i/>
          <w:iCs/>
          <w:lang w:val="en-GB" w:eastAsia="ja-JP"/>
        </w:rPr>
        <w:t xml:space="preserve">Observation 3: </w:t>
      </w:r>
      <w:r>
        <w:rPr>
          <w:i/>
          <w:iCs/>
          <w:lang w:val="en-GB"/>
        </w:rPr>
        <w:t>M</w:t>
      </w:r>
      <w:r w:rsidRPr="00B44A2F">
        <w:rPr>
          <w:i/>
          <w:iCs/>
          <w:lang w:val="en-GB"/>
        </w:rPr>
        <w:t>easurement gap configurations must consider the propagation delay delta between NTN cells, otherwise the UE may miss the SSB/CSI-RS measurement window and will thus be unable to perform measurements</w:t>
      </w:r>
      <w:r w:rsidRPr="005D7166">
        <w:rPr>
          <w:bCs/>
          <w:i/>
          <w:iCs/>
          <w:lang w:val="en-GB" w:eastAsia="ja-JP"/>
        </w:rPr>
        <w:t>.</w:t>
      </w:r>
    </w:p>
    <w:p w14:paraId="649CF5C3" w14:textId="77777777" w:rsidR="00922802" w:rsidRDefault="00922802" w:rsidP="00922802">
      <w:pPr>
        <w:rPr>
          <w:i/>
          <w:iCs/>
          <w:lang w:val="en-GB"/>
        </w:rPr>
      </w:pPr>
      <w:r w:rsidRPr="005D7166">
        <w:rPr>
          <w:b/>
          <w:i/>
          <w:iCs/>
          <w:lang w:val="en-GB" w:eastAsia="ja-JP"/>
        </w:rPr>
        <w:t xml:space="preserve">Observation 4: </w:t>
      </w:r>
      <w:r>
        <w:rPr>
          <w:i/>
          <w:iCs/>
          <w:lang w:val="en-GB"/>
        </w:rPr>
        <w:t>The Ne</w:t>
      </w:r>
      <w:r w:rsidRPr="00B44A2F">
        <w:rPr>
          <w:i/>
          <w:iCs/>
          <w:lang w:val="en-GB"/>
        </w:rPr>
        <w:t>twork can compensate for propagation delay differences in the UE measurement window, e.g., via system information, or in a UE specific manner via dedicated signalling</w:t>
      </w:r>
      <w:r w:rsidRPr="005D7166">
        <w:rPr>
          <w:i/>
          <w:iCs/>
          <w:lang w:val="en-GB"/>
        </w:rPr>
        <w:t>.</w:t>
      </w:r>
    </w:p>
    <w:p w14:paraId="5438D39D" w14:textId="77777777" w:rsidR="00922802" w:rsidRDefault="00922802" w:rsidP="00922802">
      <w:pPr>
        <w:rPr>
          <w:i/>
          <w:iCs/>
        </w:rPr>
      </w:pPr>
      <w:r w:rsidRPr="002D77C5">
        <w:rPr>
          <w:b/>
          <w:i/>
          <w:iCs/>
          <w:lang w:val="en-GB" w:eastAsia="ja-JP"/>
        </w:rPr>
        <w:t xml:space="preserve">Observation </w:t>
      </w:r>
      <w:r>
        <w:rPr>
          <w:b/>
          <w:i/>
          <w:iCs/>
          <w:lang w:val="en-GB" w:eastAsia="ja-JP"/>
        </w:rPr>
        <w:t>5</w:t>
      </w:r>
      <w:r w:rsidRPr="002D77C5">
        <w:rPr>
          <w:b/>
          <w:i/>
          <w:iCs/>
          <w:lang w:val="en-GB" w:eastAsia="ja-JP"/>
        </w:rPr>
        <w:t xml:space="preserve">: </w:t>
      </w:r>
      <w:r>
        <w:rPr>
          <w:i/>
          <w:iCs/>
        </w:rPr>
        <w:t xml:space="preserve">Several options are presented to address issues for SMTC/MG configurations associated with </w:t>
      </w:r>
      <w:r w:rsidRPr="0046474C">
        <w:rPr>
          <w:i/>
          <w:iCs/>
        </w:rPr>
        <w:t>propagation delay differences between two NTN cells (one serving, one or more neighbor cells)</w:t>
      </w:r>
      <w:r w:rsidRPr="002D77C5">
        <w:rPr>
          <w:i/>
          <w:iCs/>
        </w:rPr>
        <w:t>.</w:t>
      </w:r>
    </w:p>
    <w:p w14:paraId="428FAFCE" w14:textId="00464729" w:rsidR="00511572" w:rsidRPr="002D77C5" w:rsidRDefault="00511572" w:rsidP="002D77C5">
      <w:pPr>
        <w:rPr>
          <w:i/>
          <w:iCs/>
          <w:lang w:val="en-GB" w:eastAsia="ja-JP"/>
        </w:rPr>
      </w:pPr>
    </w:p>
    <w:p w14:paraId="5A8E5177" w14:textId="65586A5B" w:rsidR="006A3C9D" w:rsidRPr="002D77C5" w:rsidRDefault="006A3C9D" w:rsidP="006A3C9D">
      <w:pPr>
        <w:rPr>
          <w:i/>
          <w:iCs/>
          <w:lang w:val="en-GB" w:eastAsia="ja-JP"/>
        </w:rPr>
      </w:pPr>
      <w:r w:rsidRPr="002D77C5">
        <w:rPr>
          <w:b/>
          <w:bCs/>
          <w:i/>
          <w:iCs/>
          <w:lang w:val="en-GB" w:eastAsia="ja-JP"/>
        </w:rPr>
        <w:t xml:space="preserve">Proposal </w:t>
      </w:r>
      <w:r w:rsidR="00185FFA">
        <w:rPr>
          <w:b/>
          <w:bCs/>
          <w:i/>
          <w:iCs/>
          <w:lang w:val="en-GB" w:eastAsia="ja-JP"/>
        </w:rPr>
        <w:t>1</w:t>
      </w:r>
      <w:r w:rsidRPr="002D77C5">
        <w:rPr>
          <w:b/>
          <w:bCs/>
          <w:i/>
          <w:iCs/>
          <w:lang w:val="en-GB" w:eastAsia="ja-JP"/>
        </w:rPr>
        <w:t>:</w:t>
      </w:r>
      <w:r w:rsidRPr="002D77C5">
        <w:rPr>
          <w:i/>
          <w:iCs/>
          <w:lang w:val="en-GB" w:eastAsia="ja-JP"/>
        </w:rPr>
        <w:t xml:space="preserve"> RAN2 agrees to </w:t>
      </w:r>
      <w:r>
        <w:rPr>
          <w:i/>
          <w:iCs/>
          <w:lang w:val="en-GB" w:eastAsia="ja-JP"/>
        </w:rPr>
        <w:t xml:space="preserve">incorporate one of the proposed options for NTN-specific </w:t>
      </w:r>
      <w:r w:rsidR="00D10F1C">
        <w:rPr>
          <w:i/>
          <w:iCs/>
          <w:lang w:val="en-GB" w:eastAsia="ja-JP"/>
        </w:rPr>
        <w:t xml:space="preserve">SMTC </w:t>
      </w:r>
      <w:r>
        <w:rPr>
          <w:i/>
          <w:iCs/>
          <w:lang w:val="en-GB" w:eastAsia="ja-JP"/>
        </w:rPr>
        <w:t>Measurement Gap configurations into the running CR</w:t>
      </w:r>
      <w:r w:rsidRPr="002D77C5">
        <w:rPr>
          <w:i/>
          <w:iCs/>
          <w:lang w:val="en-GB" w:eastAsia="ja-JP"/>
        </w:rPr>
        <w:t>.</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Pr>
          <w:rFonts w:eastAsia="Times New Roman" w:cs="Arial"/>
          <w:szCs w:val="20"/>
          <w:lang w:val="en-GB" w:eastAsia="en-GB"/>
        </w:rPr>
        <w:t>4  References</w:t>
      </w:r>
      <w:proofErr w:type="gramEnd"/>
    </w:p>
    <w:p w14:paraId="268EF73A" w14:textId="3FB2B967" w:rsidR="00DD617C" w:rsidRDefault="00DD617C" w:rsidP="00B0144B">
      <w:pPr>
        <w:rPr>
          <w:lang w:eastAsia="ja-JP"/>
        </w:rPr>
      </w:pPr>
      <w:r w:rsidRPr="00283C05">
        <w:rPr>
          <w:lang w:eastAsia="ja-JP"/>
        </w:rPr>
        <w:t xml:space="preserve">[1] </w:t>
      </w:r>
      <w:r w:rsidR="008769AB">
        <w:rPr>
          <w:lang w:eastAsia="ja-JP"/>
        </w:rPr>
        <w:t xml:space="preserve">3GPP </w:t>
      </w:r>
      <w:r w:rsidR="00960006" w:rsidRPr="001A432A">
        <w:t>RP-210908</w:t>
      </w:r>
      <w:r w:rsidR="00960006" w:rsidRPr="00007DD4">
        <w:t xml:space="preserve">,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960006">
        <w:rPr>
          <w:lang w:eastAsia="ja-JP"/>
        </w:rPr>
        <w:t>March 2021</w:t>
      </w:r>
      <w:r w:rsidR="008769AB">
        <w:rPr>
          <w:lang w:eastAsia="ja-JP"/>
        </w:rPr>
        <w:t>.</w:t>
      </w:r>
    </w:p>
    <w:p w14:paraId="6947EF55" w14:textId="13465360"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3A51E85F" w:rsidR="00D612B6" w:rsidRPr="00283C05" w:rsidRDefault="00D612B6" w:rsidP="00B0144B">
      <w:pPr>
        <w:rPr>
          <w:lang w:eastAsia="ja-JP"/>
        </w:rPr>
      </w:pPr>
      <w:r>
        <w:rPr>
          <w:lang w:eastAsia="ja-JP"/>
        </w:rPr>
        <w:t xml:space="preserve">[3] </w:t>
      </w:r>
      <w:r w:rsidR="00C3263A" w:rsidRPr="00C3263A">
        <w:rPr>
          <w:lang w:eastAsia="ja-JP"/>
        </w:rPr>
        <w:t>R2-2104302</w:t>
      </w:r>
      <w:r>
        <w:rPr>
          <w:lang w:eastAsia="ja-JP"/>
        </w:rPr>
        <w:t>, “</w:t>
      </w:r>
      <w:r w:rsidR="00C3263A" w:rsidRPr="00C3263A">
        <w:rPr>
          <w:lang w:eastAsia="ja-JP"/>
        </w:rPr>
        <w:t>Report from Break-out session on R17 NTN and REDCAP</w:t>
      </w:r>
      <w:r>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FA11" w14:textId="77777777" w:rsidR="00244796" w:rsidRDefault="00244796" w:rsidP="00886706">
      <w:pPr>
        <w:spacing w:after="0" w:line="240" w:lineRule="auto"/>
      </w:pPr>
      <w:r>
        <w:separator/>
      </w:r>
    </w:p>
  </w:endnote>
  <w:endnote w:type="continuationSeparator" w:id="0">
    <w:p w14:paraId="4DB60BA9" w14:textId="77777777" w:rsidR="00244796" w:rsidRDefault="00244796"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FD05E" w14:textId="77777777" w:rsidR="00244796" w:rsidRDefault="00244796" w:rsidP="00886706">
      <w:pPr>
        <w:spacing w:after="0" w:line="240" w:lineRule="auto"/>
      </w:pPr>
      <w:r>
        <w:separator/>
      </w:r>
    </w:p>
  </w:footnote>
  <w:footnote w:type="continuationSeparator" w:id="0">
    <w:p w14:paraId="2652F644" w14:textId="77777777" w:rsidR="00244796" w:rsidRDefault="00244796"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08363EF2"/>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C41F03"/>
    <w:multiLevelType w:val="multilevel"/>
    <w:tmpl w:val="12C41F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E3522F"/>
    <w:multiLevelType w:val="multilevel"/>
    <w:tmpl w:val="5BE3522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43"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1"/>
  </w:num>
  <w:num w:numId="3">
    <w:abstractNumId w:val="23"/>
  </w:num>
  <w:num w:numId="4">
    <w:abstractNumId w:val="16"/>
  </w:num>
  <w:num w:numId="5">
    <w:abstractNumId w:val="25"/>
  </w:num>
  <w:num w:numId="6">
    <w:abstractNumId w:val="34"/>
  </w:num>
  <w:num w:numId="7">
    <w:abstractNumId w:val="18"/>
  </w:num>
  <w:num w:numId="8">
    <w:abstractNumId w:val="31"/>
  </w:num>
  <w:num w:numId="9">
    <w:abstractNumId w:val="39"/>
  </w:num>
  <w:num w:numId="10">
    <w:abstractNumId w:val="4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1"/>
  </w:num>
  <w:num w:numId="16">
    <w:abstractNumId w:val="33"/>
  </w:num>
  <w:num w:numId="17">
    <w:abstractNumId w:val="47"/>
  </w:num>
  <w:num w:numId="18">
    <w:abstractNumId w:val="14"/>
  </w:num>
  <w:num w:numId="19">
    <w:abstractNumId w:val="17"/>
  </w:num>
  <w:num w:numId="20">
    <w:abstractNumId w:val="41"/>
  </w:num>
  <w:num w:numId="21">
    <w:abstractNumId w:val="8"/>
  </w:num>
  <w:num w:numId="22">
    <w:abstractNumId w:val="7"/>
  </w:num>
  <w:num w:numId="23">
    <w:abstractNumId w:val="9"/>
  </w:num>
  <w:num w:numId="24">
    <w:abstractNumId w:val="46"/>
  </w:num>
  <w:num w:numId="25">
    <w:abstractNumId w:val="26"/>
  </w:num>
  <w:num w:numId="26">
    <w:abstractNumId w:val="38"/>
  </w:num>
  <w:num w:numId="27">
    <w:abstractNumId w:val="3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5"/>
  </w:num>
  <w:num w:numId="32">
    <w:abstractNumId w:val="22"/>
  </w:num>
  <w:num w:numId="33">
    <w:abstractNumId w:val="40"/>
  </w:num>
  <w:num w:numId="34">
    <w:abstractNumId w:val="43"/>
  </w:num>
  <w:num w:numId="35">
    <w:abstractNumId w:val="35"/>
  </w:num>
  <w:num w:numId="36">
    <w:abstractNumId w:val="13"/>
  </w:num>
  <w:num w:numId="37">
    <w:abstractNumId w:val="30"/>
  </w:num>
  <w:num w:numId="38">
    <w:abstractNumId w:val="28"/>
  </w:num>
  <w:num w:numId="39">
    <w:abstractNumId w:val="6"/>
  </w:num>
  <w:num w:numId="40">
    <w:abstractNumId w:val="1"/>
  </w:num>
  <w:num w:numId="41">
    <w:abstractNumId w:val="15"/>
  </w:num>
  <w:num w:numId="42">
    <w:abstractNumId w:val="12"/>
  </w:num>
  <w:num w:numId="43">
    <w:abstractNumId w:val="42"/>
  </w:num>
  <w:num w:numId="44">
    <w:abstractNumId w:val="27"/>
  </w:num>
  <w:num w:numId="45">
    <w:abstractNumId w:val="3"/>
  </w:num>
  <w:num w:numId="46">
    <w:abstractNumId w:val="36"/>
  </w:num>
  <w:num w:numId="47">
    <w:abstractNumId w:val="10"/>
  </w:num>
  <w:num w:numId="48">
    <w:abstractNumId w:val="44"/>
  </w:num>
  <w:num w:numId="4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60AB"/>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4730"/>
    <w:rsid w:val="00076BC6"/>
    <w:rsid w:val="00081649"/>
    <w:rsid w:val="0008356D"/>
    <w:rsid w:val="00083F3B"/>
    <w:rsid w:val="00083FD8"/>
    <w:rsid w:val="000847F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5FFA"/>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1F7730"/>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4796"/>
    <w:rsid w:val="00246C45"/>
    <w:rsid w:val="00251D49"/>
    <w:rsid w:val="0025397C"/>
    <w:rsid w:val="0025590E"/>
    <w:rsid w:val="00256839"/>
    <w:rsid w:val="00256B7C"/>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9BD"/>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3E78"/>
    <w:rsid w:val="003B6F4E"/>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703E"/>
    <w:rsid w:val="00415AAA"/>
    <w:rsid w:val="00417C6D"/>
    <w:rsid w:val="00420844"/>
    <w:rsid w:val="00421376"/>
    <w:rsid w:val="00421877"/>
    <w:rsid w:val="0042206E"/>
    <w:rsid w:val="00422C2E"/>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474C"/>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0D2"/>
    <w:rsid w:val="00584796"/>
    <w:rsid w:val="0058544C"/>
    <w:rsid w:val="00585721"/>
    <w:rsid w:val="005902AA"/>
    <w:rsid w:val="00590364"/>
    <w:rsid w:val="00590990"/>
    <w:rsid w:val="00591596"/>
    <w:rsid w:val="00597CCD"/>
    <w:rsid w:val="005A19EA"/>
    <w:rsid w:val="005A1E36"/>
    <w:rsid w:val="005A23B0"/>
    <w:rsid w:val="005A4172"/>
    <w:rsid w:val="005A5D27"/>
    <w:rsid w:val="005B2852"/>
    <w:rsid w:val="005B367F"/>
    <w:rsid w:val="005C2046"/>
    <w:rsid w:val="005C6CF7"/>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372"/>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3C9D"/>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255A"/>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86BF4"/>
    <w:rsid w:val="00790290"/>
    <w:rsid w:val="00790554"/>
    <w:rsid w:val="00797B26"/>
    <w:rsid w:val="007A565D"/>
    <w:rsid w:val="007A7926"/>
    <w:rsid w:val="007B0420"/>
    <w:rsid w:val="007B1EE6"/>
    <w:rsid w:val="007B5752"/>
    <w:rsid w:val="007C07AB"/>
    <w:rsid w:val="007C28F7"/>
    <w:rsid w:val="007C2B7B"/>
    <w:rsid w:val="007C7B1A"/>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97CEE"/>
    <w:rsid w:val="008A3467"/>
    <w:rsid w:val="008A3CCB"/>
    <w:rsid w:val="008A3F49"/>
    <w:rsid w:val="008B033C"/>
    <w:rsid w:val="008B4721"/>
    <w:rsid w:val="008B5C0E"/>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278B"/>
    <w:rsid w:val="00904CAE"/>
    <w:rsid w:val="00911970"/>
    <w:rsid w:val="0091212A"/>
    <w:rsid w:val="00915979"/>
    <w:rsid w:val="00916195"/>
    <w:rsid w:val="0091682C"/>
    <w:rsid w:val="00916D1A"/>
    <w:rsid w:val="00917320"/>
    <w:rsid w:val="009220DE"/>
    <w:rsid w:val="009224AD"/>
    <w:rsid w:val="00922802"/>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0006"/>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4A2F"/>
    <w:rsid w:val="00B4554E"/>
    <w:rsid w:val="00B52D4C"/>
    <w:rsid w:val="00B53019"/>
    <w:rsid w:val="00B53253"/>
    <w:rsid w:val="00B55B8E"/>
    <w:rsid w:val="00B561B9"/>
    <w:rsid w:val="00B576AB"/>
    <w:rsid w:val="00B57C05"/>
    <w:rsid w:val="00B60B35"/>
    <w:rsid w:val="00B6112D"/>
    <w:rsid w:val="00B63706"/>
    <w:rsid w:val="00B63DF5"/>
    <w:rsid w:val="00B669F1"/>
    <w:rsid w:val="00B700BC"/>
    <w:rsid w:val="00B73E27"/>
    <w:rsid w:val="00B74984"/>
    <w:rsid w:val="00B751B9"/>
    <w:rsid w:val="00B75421"/>
    <w:rsid w:val="00B81D35"/>
    <w:rsid w:val="00B83198"/>
    <w:rsid w:val="00B8453D"/>
    <w:rsid w:val="00B848FF"/>
    <w:rsid w:val="00B872BF"/>
    <w:rsid w:val="00B9416A"/>
    <w:rsid w:val="00B96231"/>
    <w:rsid w:val="00B967D8"/>
    <w:rsid w:val="00B97A4D"/>
    <w:rsid w:val="00BA1F26"/>
    <w:rsid w:val="00BA20EC"/>
    <w:rsid w:val="00BA27B8"/>
    <w:rsid w:val="00BA3AB2"/>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3263A"/>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92C"/>
    <w:rsid w:val="00CE2DA9"/>
    <w:rsid w:val="00CE5320"/>
    <w:rsid w:val="00CE7139"/>
    <w:rsid w:val="00CF3952"/>
    <w:rsid w:val="00D04861"/>
    <w:rsid w:val="00D04CD1"/>
    <w:rsid w:val="00D10953"/>
    <w:rsid w:val="00D10F1C"/>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3C94"/>
    <w:rsid w:val="00D74686"/>
    <w:rsid w:val="00D7492D"/>
    <w:rsid w:val="00D754C8"/>
    <w:rsid w:val="00D763E1"/>
    <w:rsid w:val="00D76439"/>
    <w:rsid w:val="00D7786E"/>
    <w:rsid w:val="00D810F8"/>
    <w:rsid w:val="00D942A5"/>
    <w:rsid w:val="00D94BDB"/>
    <w:rsid w:val="00D9679D"/>
    <w:rsid w:val="00D9781E"/>
    <w:rsid w:val="00DA1ABF"/>
    <w:rsid w:val="00DA6A7A"/>
    <w:rsid w:val="00DA7BC7"/>
    <w:rsid w:val="00DB12F4"/>
    <w:rsid w:val="00DB373E"/>
    <w:rsid w:val="00DB4BAB"/>
    <w:rsid w:val="00DB515D"/>
    <w:rsid w:val="00DD617C"/>
    <w:rsid w:val="00DE14A6"/>
    <w:rsid w:val="00DE58C7"/>
    <w:rsid w:val="00DE6788"/>
    <w:rsid w:val="00DE68A6"/>
    <w:rsid w:val="00DE6CFA"/>
    <w:rsid w:val="00DF1313"/>
    <w:rsid w:val="00DF25CC"/>
    <w:rsid w:val="00DF66B4"/>
    <w:rsid w:val="00DF6FEC"/>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3144"/>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135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1DBA"/>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A7C2E"/>
    <w:rsid w:val="00FB0098"/>
    <w:rsid w:val="00FB28FB"/>
    <w:rsid w:val="00FB36D0"/>
    <w:rsid w:val="00FB79E4"/>
    <w:rsid w:val="00FB7E4B"/>
    <w:rsid w:val="00FC12EC"/>
    <w:rsid w:val="00FC2454"/>
    <w:rsid w:val="00FC3093"/>
    <w:rsid w:val="00FC3157"/>
    <w:rsid w:val="00FC75FF"/>
    <w:rsid w:val="00FD0113"/>
    <w:rsid w:val="00FE3588"/>
    <w:rsid w:val="00FF0874"/>
    <w:rsid w:val="00FF09FD"/>
    <w:rsid w:val="02C605BF"/>
    <w:rsid w:val="114F1B77"/>
    <w:rsid w:val="138C247D"/>
    <w:rsid w:val="20517F28"/>
    <w:rsid w:val="31515C52"/>
    <w:rsid w:val="3615AEAB"/>
    <w:rsid w:val="399DD525"/>
    <w:rsid w:val="3ADCF0FD"/>
    <w:rsid w:val="47CF905C"/>
    <w:rsid w:val="4BB0FDBA"/>
    <w:rsid w:val="5AD374A0"/>
    <w:rsid w:val="61741304"/>
    <w:rsid w:val="62673102"/>
    <w:rsid w:val="63C97668"/>
    <w:rsid w:val="645CD892"/>
    <w:rsid w:val="67DAA968"/>
    <w:rsid w:val="75D8A5C5"/>
    <w:rsid w:val="768F9024"/>
    <w:rsid w:val="7F4A9C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529641028">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102866_post113-e_108_NTN_SMTC_MeasGap.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2995</Words>
  <Characters>17076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5</cp:revision>
  <cp:lastPrinted>2020-08-07T06:54:00Z</cp:lastPrinted>
  <dcterms:created xsi:type="dcterms:W3CDTF">2021-05-11T03:20:00Z</dcterms:created>
  <dcterms:modified xsi:type="dcterms:W3CDTF">2021-05-11T05:20:00Z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